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7E4B8" w14:textId="77777777" w:rsidR="005F2796" w:rsidRDefault="005F2796" w:rsidP="004043E8">
      <w:pPr>
        <w:pStyle w:val="Tytu"/>
      </w:pPr>
    </w:p>
    <w:p w14:paraId="06DE4F26" w14:textId="77777777" w:rsidR="00BD06D9" w:rsidRPr="004778E3" w:rsidRDefault="00C60E9B" w:rsidP="004043E8">
      <w:pPr>
        <w:pStyle w:val="Tytu"/>
      </w:pPr>
      <w:r w:rsidRPr="004778E3">
        <w:t>Objaśnienia do formularzy</w:t>
      </w:r>
      <w:r w:rsidR="004043E8" w:rsidRPr="004778E3">
        <w:t xml:space="preserve"> →</w:t>
      </w:r>
      <w:r w:rsidR="004043E8" w:rsidRPr="004778E3">
        <w:rPr>
          <w:rFonts w:ascii="Segoe UI" w:hAnsi="Segoe UI" w:cs="Segoe UI"/>
          <w:color w:val="172B4D"/>
          <w:sz w:val="21"/>
          <w:szCs w:val="21"/>
          <w:shd w:val="clear" w:color="auto" w:fill="FFFFFF"/>
        </w:rPr>
        <w:t xml:space="preserve">  </w:t>
      </w:r>
      <w:r w:rsidR="004043E8" w:rsidRPr="004778E3">
        <w:t>S-1</w:t>
      </w:r>
      <w:r w:rsidR="00D70BC5" w:rsidRPr="004778E3">
        <w:t>2</w:t>
      </w:r>
    </w:p>
    <w:p w14:paraId="198F124A" w14:textId="2D417FB7" w:rsidR="00C60E9B" w:rsidRDefault="00C60E9B" w:rsidP="004043E8">
      <w:pPr>
        <w:pStyle w:val="Podtytu"/>
      </w:pPr>
      <w:r w:rsidRPr="004778E3">
        <w:t>S-1</w:t>
      </w:r>
      <w:r w:rsidR="00D70BC5" w:rsidRPr="004778E3">
        <w:t>2</w:t>
      </w:r>
      <w:r w:rsidRPr="004778E3">
        <w:t xml:space="preserve"> </w:t>
      </w:r>
      <w:r w:rsidR="004043E8" w:rsidRPr="004778E3">
        <w:t xml:space="preserve">POLON </w:t>
      </w:r>
      <w:r w:rsidR="00CF06C2" w:rsidRPr="00CF06C2">
        <w:t>Sprawozdanie o studiach podyplomowych, kształceniu specjalistycznym, doktorantach oraz zatrudnieniu w uczelniach.</w:t>
      </w:r>
      <w:r w:rsidR="00CF06C2">
        <w:t xml:space="preserve"> </w:t>
      </w:r>
    </w:p>
    <w:p w14:paraId="55243E32" w14:textId="331B1160" w:rsidR="00D76DDD" w:rsidRPr="00D76DDD" w:rsidRDefault="00D76DDD" w:rsidP="00D76DDD">
      <w:pPr>
        <w:rPr>
          <w:rFonts w:asciiTheme="majorHAnsi" w:eastAsiaTheme="majorEastAsia" w:hAnsiTheme="majorHAnsi" w:cstheme="majorBidi"/>
          <w:i/>
          <w:iCs/>
          <w:color w:val="4F81BD" w:themeColor="accent1"/>
          <w:spacing w:val="15"/>
          <w:sz w:val="24"/>
          <w:szCs w:val="24"/>
        </w:rPr>
      </w:pPr>
      <w:r w:rsidRPr="00D76DDD">
        <w:rPr>
          <w:rFonts w:asciiTheme="majorHAnsi" w:eastAsiaTheme="majorEastAsia" w:hAnsiTheme="majorHAnsi" w:cstheme="majorBidi"/>
          <w:i/>
          <w:iCs/>
          <w:color w:val="4F81BD" w:themeColor="accent1"/>
          <w:spacing w:val="15"/>
          <w:sz w:val="24"/>
          <w:szCs w:val="24"/>
        </w:rPr>
        <w:t>(rok 2024)</w:t>
      </w:r>
    </w:p>
    <w:p w14:paraId="20BD5E2D" w14:textId="77777777" w:rsidR="00DA163D" w:rsidRPr="004778E3" w:rsidRDefault="00DA163D" w:rsidP="00DA163D"/>
    <w:p w14:paraId="1BD2AE28" w14:textId="77777777" w:rsidR="00DA163D" w:rsidRPr="004778E3" w:rsidRDefault="00DA163D" w:rsidP="004043E8">
      <w:pPr>
        <w:pStyle w:val="Nagwek1"/>
      </w:pPr>
      <w:r w:rsidRPr="004778E3">
        <w:t>Objaśnienia ogólne</w:t>
      </w:r>
    </w:p>
    <w:p w14:paraId="7C6FE4C8" w14:textId="77777777" w:rsidR="00C60E9B" w:rsidRPr="004778E3" w:rsidRDefault="00C60E9B" w:rsidP="00C60E9B"/>
    <w:p w14:paraId="6BA8CBF5" w14:textId="77777777" w:rsidR="00C60E9B" w:rsidRPr="004778E3" w:rsidRDefault="00415381" w:rsidP="00C60E9B">
      <w:pPr>
        <w:suppressAutoHyphens/>
        <w:rPr>
          <w:rFonts w:ascii="Times New Roman" w:hAnsi="Times New Roman"/>
          <w:sz w:val="20"/>
          <w:szCs w:val="20"/>
        </w:rPr>
      </w:pPr>
      <w:r w:rsidRPr="004778E3">
        <w:t>Sekcje</w:t>
      </w:r>
    </w:p>
    <w:tbl>
      <w:tblPr>
        <w:tblStyle w:val="Tabela-Siatka"/>
        <w:tblW w:w="5000" w:type="pct"/>
        <w:tblLook w:val="04A0" w:firstRow="1" w:lastRow="0" w:firstColumn="1" w:lastColumn="0" w:noHBand="0" w:noVBand="1"/>
      </w:tblPr>
      <w:tblGrid>
        <w:gridCol w:w="1236"/>
        <w:gridCol w:w="7453"/>
        <w:gridCol w:w="353"/>
      </w:tblGrid>
      <w:tr w:rsidR="005A1666" w:rsidRPr="004778E3" w14:paraId="3DC2F11D" w14:textId="77777777" w:rsidTr="00D70BC5">
        <w:trPr>
          <w:trHeight w:hRule="exact" w:val="567"/>
        </w:trPr>
        <w:tc>
          <w:tcPr>
            <w:tcW w:w="666" w:type="pct"/>
            <w:vMerge w:val="restart"/>
            <w:tcBorders>
              <w:top w:val="double" w:sz="4" w:space="0" w:color="000000"/>
              <w:left w:val="double" w:sz="4" w:space="0" w:color="000000"/>
            </w:tcBorders>
            <w:vAlign w:val="center"/>
          </w:tcPr>
          <w:p w14:paraId="45A56738" w14:textId="77777777" w:rsidR="005A1666" w:rsidRPr="004778E3" w:rsidRDefault="005A1666" w:rsidP="00567B7D">
            <w:pPr>
              <w:suppressAutoHyphens/>
              <w:jc w:val="center"/>
              <w:rPr>
                <w:rFonts w:ascii="Times New Roman" w:hAnsi="Times New Roman"/>
                <w:sz w:val="18"/>
                <w:szCs w:val="18"/>
              </w:rPr>
            </w:pPr>
            <w:r w:rsidRPr="004778E3">
              <w:rPr>
                <w:rFonts w:ascii="Times New Roman" w:hAnsi="Times New Roman"/>
                <w:sz w:val="18"/>
                <w:szCs w:val="18"/>
              </w:rPr>
              <w:t xml:space="preserve">Sprawozdanie </w:t>
            </w:r>
          </w:p>
          <w:p w14:paraId="7575BADD" w14:textId="77777777" w:rsidR="005A1666" w:rsidRPr="004778E3" w:rsidRDefault="005A1666" w:rsidP="00567B7D">
            <w:pPr>
              <w:suppressAutoHyphens/>
              <w:jc w:val="center"/>
              <w:rPr>
                <w:rFonts w:ascii="Times New Roman" w:hAnsi="Times New Roman"/>
                <w:sz w:val="18"/>
                <w:szCs w:val="18"/>
              </w:rPr>
            </w:pPr>
            <w:r w:rsidRPr="004778E3">
              <w:rPr>
                <w:rFonts w:ascii="Times New Roman" w:hAnsi="Times New Roman"/>
                <w:sz w:val="18"/>
                <w:szCs w:val="18"/>
              </w:rPr>
              <w:t>wypełnia się dla:</w:t>
            </w:r>
          </w:p>
        </w:tc>
        <w:tc>
          <w:tcPr>
            <w:tcW w:w="4130" w:type="pct"/>
            <w:tcBorders>
              <w:top w:val="double" w:sz="4" w:space="0" w:color="000000"/>
              <w:right w:val="single" w:sz="12" w:space="0" w:color="000000"/>
            </w:tcBorders>
          </w:tcPr>
          <w:p w14:paraId="408EA33A" w14:textId="15A83475" w:rsidR="005A1666" w:rsidRPr="004778E3" w:rsidRDefault="002B79F5" w:rsidP="00567B7D">
            <w:pPr>
              <w:suppressAutoHyphens/>
              <w:spacing w:before="120" w:after="120"/>
              <w:jc w:val="both"/>
              <w:rPr>
                <w:rFonts w:ascii="Times New Roman" w:hAnsi="Times New Roman"/>
                <w:sz w:val="18"/>
                <w:szCs w:val="18"/>
              </w:rPr>
            </w:pPr>
            <w:r w:rsidRPr="004778E3">
              <w:rPr>
                <w:rFonts w:ascii="Times New Roman" w:hAnsi="Times New Roman"/>
                <w:sz w:val="18"/>
                <w:szCs w:val="18"/>
              </w:rPr>
              <w:t xml:space="preserve">uczestników studiów podyplomowych i kształcenia specjalistycznego, doktorantów, nauczycieli akademickich i pracowników – </w:t>
            </w:r>
            <w:r w:rsidRPr="004778E3">
              <w:rPr>
                <w:rFonts w:ascii="Times New Roman" w:hAnsi="Times New Roman"/>
                <w:b/>
                <w:sz w:val="18"/>
                <w:szCs w:val="18"/>
              </w:rPr>
              <w:t>BEZ CUDZOZIEMCÓW</w:t>
            </w:r>
          </w:p>
        </w:tc>
        <w:tc>
          <w:tcPr>
            <w:tcW w:w="204" w:type="pct"/>
            <w:tcBorders>
              <w:top w:val="single" w:sz="12" w:space="0" w:color="000000"/>
              <w:left w:val="single" w:sz="12" w:space="0" w:color="000000"/>
              <w:bottom w:val="single" w:sz="2" w:space="0" w:color="000000"/>
              <w:right w:val="single" w:sz="12" w:space="0" w:color="000000"/>
            </w:tcBorders>
            <w:vAlign w:val="center"/>
          </w:tcPr>
          <w:p w14:paraId="3B18B420" w14:textId="77777777" w:rsidR="005A1666" w:rsidRPr="004778E3" w:rsidRDefault="005A1666" w:rsidP="00567B7D">
            <w:pPr>
              <w:suppressAutoHyphens/>
              <w:spacing w:before="120" w:after="120"/>
              <w:jc w:val="center"/>
              <w:rPr>
                <w:rFonts w:ascii="Times New Roman" w:hAnsi="Times New Roman"/>
                <w:b/>
                <w:sz w:val="18"/>
                <w:szCs w:val="18"/>
              </w:rPr>
            </w:pPr>
            <w:r w:rsidRPr="004778E3">
              <w:rPr>
                <w:rFonts w:ascii="Times New Roman" w:hAnsi="Times New Roman"/>
                <w:b/>
                <w:sz w:val="18"/>
                <w:szCs w:val="18"/>
              </w:rPr>
              <w:t>1</w:t>
            </w:r>
          </w:p>
        </w:tc>
      </w:tr>
      <w:tr w:rsidR="005A1666" w:rsidRPr="004778E3" w14:paraId="2D8C7EEE" w14:textId="77777777" w:rsidTr="00D70BC5">
        <w:trPr>
          <w:trHeight w:hRule="exact" w:val="567"/>
        </w:trPr>
        <w:tc>
          <w:tcPr>
            <w:tcW w:w="666" w:type="pct"/>
            <w:vMerge/>
            <w:tcBorders>
              <w:left w:val="double" w:sz="4" w:space="0" w:color="000000"/>
            </w:tcBorders>
          </w:tcPr>
          <w:p w14:paraId="7AA8B5EE" w14:textId="77777777" w:rsidR="005A1666" w:rsidRPr="004778E3" w:rsidRDefault="005A1666" w:rsidP="00567B7D">
            <w:pPr>
              <w:suppressAutoHyphens/>
              <w:spacing w:before="120" w:after="120"/>
              <w:jc w:val="both"/>
              <w:rPr>
                <w:rFonts w:ascii="Times New Roman" w:hAnsi="Times New Roman"/>
                <w:sz w:val="18"/>
                <w:szCs w:val="18"/>
              </w:rPr>
            </w:pPr>
          </w:p>
        </w:tc>
        <w:tc>
          <w:tcPr>
            <w:tcW w:w="4130" w:type="pct"/>
            <w:tcBorders>
              <w:right w:val="single" w:sz="12" w:space="0" w:color="000000"/>
            </w:tcBorders>
          </w:tcPr>
          <w:p w14:paraId="355867D8" w14:textId="10268982" w:rsidR="005A1666" w:rsidRPr="004778E3" w:rsidRDefault="002B79F5" w:rsidP="00567B7D">
            <w:pPr>
              <w:suppressAutoHyphens/>
              <w:spacing w:before="120" w:after="120"/>
              <w:jc w:val="both"/>
              <w:rPr>
                <w:rFonts w:ascii="Times New Roman" w:hAnsi="Times New Roman"/>
                <w:sz w:val="18"/>
                <w:szCs w:val="18"/>
              </w:rPr>
            </w:pPr>
            <w:r w:rsidRPr="004778E3">
              <w:rPr>
                <w:rFonts w:ascii="Times New Roman" w:hAnsi="Times New Roman"/>
                <w:sz w:val="18"/>
                <w:szCs w:val="18"/>
              </w:rPr>
              <w:t xml:space="preserve">uczestników studiów podyplomowych i kształcenia specjalistycznego, doktorantów, nauczycieli akademickich i pracowników – </w:t>
            </w:r>
            <w:r w:rsidRPr="004778E3">
              <w:rPr>
                <w:rFonts w:ascii="Times New Roman" w:hAnsi="Times New Roman"/>
                <w:b/>
                <w:sz w:val="18"/>
                <w:szCs w:val="18"/>
              </w:rPr>
              <w:t>CUDZOZIEMCÓW</w:t>
            </w:r>
          </w:p>
        </w:tc>
        <w:tc>
          <w:tcPr>
            <w:tcW w:w="204" w:type="pct"/>
            <w:tcBorders>
              <w:top w:val="single" w:sz="2" w:space="0" w:color="000000"/>
              <w:left w:val="single" w:sz="12" w:space="0" w:color="000000"/>
              <w:bottom w:val="single" w:sz="2" w:space="0" w:color="000000"/>
              <w:right w:val="single" w:sz="12" w:space="0" w:color="000000"/>
            </w:tcBorders>
            <w:vAlign w:val="center"/>
          </w:tcPr>
          <w:p w14:paraId="1B949107" w14:textId="77777777" w:rsidR="005A1666" w:rsidRPr="004778E3" w:rsidRDefault="005A1666" w:rsidP="00567B7D">
            <w:pPr>
              <w:suppressAutoHyphens/>
              <w:spacing w:before="120" w:after="120"/>
              <w:jc w:val="center"/>
              <w:rPr>
                <w:rFonts w:ascii="Times New Roman" w:hAnsi="Times New Roman"/>
                <w:b/>
                <w:sz w:val="18"/>
                <w:szCs w:val="18"/>
              </w:rPr>
            </w:pPr>
            <w:r w:rsidRPr="004778E3">
              <w:rPr>
                <w:rFonts w:ascii="Times New Roman" w:hAnsi="Times New Roman"/>
                <w:b/>
                <w:sz w:val="18"/>
                <w:szCs w:val="18"/>
              </w:rPr>
              <w:t>2</w:t>
            </w:r>
          </w:p>
        </w:tc>
      </w:tr>
      <w:tr w:rsidR="005A1666" w:rsidRPr="004778E3" w14:paraId="1B1F7AFA" w14:textId="77777777" w:rsidTr="00D76DDD">
        <w:trPr>
          <w:trHeight w:hRule="exact" w:val="892"/>
        </w:trPr>
        <w:tc>
          <w:tcPr>
            <w:tcW w:w="666" w:type="pct"/>
            <w:vMerge/>
            <w:tcBorders>
              <w:left w:val="double" w:sz="4" w:space="0" w:color="000000"/>
            </w:tcBorders>
          </w:tcPr>
          <w:p w14:paraId="01EE2B95" w14:textId="77777777" w:rsidR="005A1666" w:rsidRPr="004778E3" w:rsidRDefault="005A1666" w:rsidP="00567B7D">
            <w:pPr>
              <w:suppressAutoHyphens/>
              <w:spacing w:before="120" w:after="120"/>
              <w:jc w:val="both"/>
              <w:rPr>
                <w:rFonts w:ascii="Times New Roman" w:hAnsi="Times New Roman"/>
                <w:sz w:val="18"/>
                <w:szCs w:val="18"/>
              </w:rPr>
            </w:pPr>
          </w:p>
        </w:tc>
        <w:tc>
          <w:tcPr>
            <w:tcW w:w="4130" w:type="pct"/>
            <w:tcBorders>
              <w:right w:val="single" w:sz="12" w:space="0" w:color="000000"/>
            </w:tcBorders>
          </w:tcPr>
          <w:p w14:paraId="290AB2AB" w14:textId="62723262" w:rsidR="005A1666" w:rsidRPr="004778E3" w:rsidRDefault="002B79F5" w:rsidP="00567B7D">
            <w:pPr>
              <w:suppressAutoHyphens/>
              <w:spacing w:before="120" w:after="120"/>
              <w:jc w:val="both"/>
              <w:rPr>
                <w:rFonts w:ascii="Times New Roman" w:hAnsi="Times New Roman"/>
                <w:sz w:val="18"/>
                <w:szCs w:val="18"/>
              </w:rPr>
            </w:pPr>
            <w:r w:rsidRPr="004778E3">
              <w:rPr>
                <w:rFonts w:ascii="Times New Roman" w:hAnsi="Times New Roman"/>
                <w:sz w:val="18"/>
                <w:szCs w:val="18"/>
              </w:rPr>
              <w:t xml:space="preserve">uczestników studiów podyplomowych i kształcenia specjalistycznego, doktorantów </w:t>
            </w:r>
            <w:r w:rsidR="00CF06C2" w:rsidRPr="00CF06C2">
              <w:rPr>
                <w:rFonts w:ascii="Times New Roman" w:hAnsi="Times New Roman"/>
                <w:b/>
                <w:bCs/>
                <w:sz w:val="18"/>
                <w:szCs w:val="18"/>
              </w:rPr>
              <w:t>CUDZOZIEMCÓW</w:t>
            </w:r>
            <w:r w:rsidR="00CF06C2">
              <w:rPr>
                <w:rFonts w:ascii="Times New Roman" w:hAnsi="Times New Roman"/>
                <w:sz w:val="18"/>
                <w:szCs w:val="18"/>
              </w:rPr>
              <w:t xml:space="preserve"> </w:t>
            </w:r>
            <w:r w:rsidRPr="004778E3">
              <w:rPr>
                <w:rFonts w:ascii="Times New Roman" w:hAnsi="Times New Roman"/>
                <w:sz w:val="18"/>
                <w:szCs w:val="18"/>
              </w:rPr>
              <w:t xml:space="preserve">– </w:t>
            </w:r>
            <w:r w:rsidRPr="004778E3">
              <w:rPr>
                <w:rFonts w:ascii="Times New Roman" w:hAnsi="Times New Roman"/>
                <w:b/>
                <w:sz w:val="18"/>
                <w:szCs w:val="18"/>
              </w:rPr>
              <w:t>KTÓRZY OTRZYMALI ŚWIADECTWO DOJRZAŁOŚCI LUB JEGO ODPOWIEDNIK POZA POLSKĄ</w:t>
            </w:r>
          </w:p>
        </w:tc>
        <w:tc>
          <w:tcPr>
            <w:tcW w:w="204" w:type="pct"/>
            <w:tcBorders>
              <w:top w:val="single" w:sz="2" w:space="0" w:color="000000"/>
              <w:left w:val="single" w:sz="12" w:space="0" w:color="000000"/>
              <w:bottom w:val="single" w:sz="2" w:space="0" w:color="000000"/>
              <w:right w:val="single" w:sz="12" w:space="0" w:color="000000"/>
            </w:tcBorders>
            <w:vAlign w:val="center"/>
          </w:tcPr>
          <w:p w14:paraId="1A75252A" w14:textId="77777777" w:rsidR="005A1666" w:rsidRPr="004778E3" w:rsidRDefault="005A1666" w:rsidP="00567B7D">
            <w:pPr>
              <w:suppressAutoHyphens/>
              <w:spacing w:before="120" w:after="120"/>
              <w:jc w:val="center"/>
              <w:rPr>
                <w:rFonts w:ascii="Times New Roman" w:hAnsi="Times New Roman"/>
                <w:b/>
                <w:sz w:val="18"/>
                <w:szCs w:val="18"/>
              </w:rPr>
            </w:pPr>
            <w:r w:rsidRPr="004778E3">
              <w:rPr>
                <w:rFonts w:ascii="Times New Roman" w:hAnsi="Times New Roman"/>
                <w:b/>
                <w:sz w:val="18"/>
                <w:szCs w:val="18"/>
              </w:rPr>
              <w:t>3</w:t>
            </w:r>
          </w:p>
        </w:tc>
      </w:tr>
      <w:tr w:rsidR="00CF06C2" w:rsidRPr="004778E3" w14:paraId="0D3A172F" w14:textId="77777777" w:rsidTr="00D76DDD">
        <w:trPr>
          <w:trHeight w:hRule="exact" w:val="862"/>
        </w:trPr>
        <w:tc>
          <w:tcPr>
            <w:tcW w:w="666" w:type="pct"/>
            <w:vMerge/>
            <w:tcBorders>
              <w:left w:val="double" w:sz="4" w:space="0" w:color="000000"/>
            </w:tcBorders>
          </w:tcPr>
          <w:p w14:paraId="59F30F63" w14:textId="77777777" w:rsidR="00CF06C2" w:rsidRPr="004778E3" w:rsidRDefault="00CF06C2" w:rsidP="00567B7D">
            <w:pPr>
              <w:suppressAutoHyphens/>
              <w:spacing w:before="120" w:after="120"/>
              <w:rPr>
                <w:rFonts w:ascii="Times New Roman" w:hAnsi="Times New Roman"/>
                <w:sz w:val="18"/>
                <w:szCs w:val="18"/>
              </w:rPr>
            </w:pPr>
          </w:p>
        </w:tc>
        <w:tc>
          <w:tcPr>
            <w:tcW w:w="4130" w:type="pct"/>
            <w:tcBorders>
              <w:right w:val="single" w:sz="12" w:space="0" w:color="000000"/>
            </w:tcBorders>
          </w:tcPr>
          <w:p w14:paraId="5CA227E6" w14:textId="151B8512" w:rsidR="00CF06C2" w:rsidRPr="004778E3" w:rsidRDefault="00CF06C2" w:rsidP="00567B7D">
            <w:pPr>
              <w:suppressAutoHyphens/>
              <w:spacing w:before="120" w:after="120"/>
              <w:rPr>
                <w:rFonts w:ascii="Times New Roman" w:hAnsi="Times New Roman"/>
                <w:sz w:val="18"/>
                <w:szCs w:val="18"/>
              </w:rPr>
            </w:pPr>
            <w:r w:rsidRPr="004778E3">
              <w:rPr>
                <w:rFonts w:ascii="Times New Roman" w:hAnsi="Times New Roman"/>
                <w:sz w:val="18"/>
                <w:szCs w:val="18"/>
              </w:rPr>
              <w:t xml:space="preserve">uczestników studiów podyplomowych i kształcenia specjalistycznego, doktorantów </w:t>
            </w:r>
            <w:r w:rsidRPr="00CF06C2">
              <w:rPr>
                <w:rFonts w:ascii="Times New Roman" w:hAnsi="Times New Roman"/>
                <w:b/>
                <w:bCs/>
                <w:sz w:val="18"/>
                <w:szCs w:val="18"/>
              </w:rPr>
              <w:t>POLAKÓW</w:t>
            </w:r>
            <w:r>
              <w:rPr>
                <w:rFonts w:ascii="Times New Roman" w:hAnsi="Times New Roman"/>
                <w:sz w:val="18"/>
                <w:szCs w:val="18"/>
              </w:rPr>
              <w:t xml:space="preserve"> </w:t>
            </w:r>
            <w:r w:rsidRPr="004778E3">
              <w:rPr>
                <w:rFonts w:ascii="Times New Roman" w:hAnsi="Times New Roman"/>
                <w:sz w:val="18"/>
                <w:szCs w:val="18"/>
              </w:rPr>
              <w:t xml:space="preserve">– </w:t>
            </w:r>
            <w:r w:rsidRPr="004778E3">
              <w:rPr>
                <w:rFonts w:ascii="Times New Roman" w:hAnsi="Times New Roman"/>
                <w:b/>
                <w:sz w:val="18"/>
                <w:szCs w:val="18"/>
              </w:rPr>
              <w:t>KTÓRZY OTRZYMALI ŚWIADECTWO DOJRZAŁOŚCI LUB JEGO ODPOWIEDNIK POZA POLSKĄ</w:t>
            </w:r>
          </w:p>
        </w:tc>
        <w:tc>
          <w:tcPr>
            <w:tcW w:w="204" w:type="pct"/>
            <w:tcBorders>
              <w:top w:val="single" w:sz="2" w:space="0" w:color="000000"/>
              <w:left w:val="single" w:sz="12" w:space="0" w:color="000000"/>
              <w:bottom w:val="single" w:sz="2" w:space="0" w:color="000000"/>
              <w:right w:val="single" w:sz="12" w:space="0" w:color="000000"/>
            </w:tcBorders>
            <w:vAlign w:val="center"/>
          </w:tcPr>
          <w:p w14:paraId="53E181B6" w14:textId="60D8453B" w:rsidR="00CF06C2" w:rsidRPr="004778E3" w:rsidRDefault="00CF06C2" w:rsidP="00567B7D">
            <w:pPr>
              <w:suppressAutoHyphens/>
              <w:spacing w:before="120" w:after="120"/>
              <w:jc w:val="center"/>
              <w:rPr>
                <w:rFonts w:ascii="Times New Roman" w:hAnsi="Times New Roman"/>
                <w:b/>
                <w:sz w:val="18"/>
                <w:szCs w:val="18"/>
              </w:rPr>
            </w:pPr>
            <w:r>
              <w:rPr>
                <w:rFonts w:ascii="Times New Roman" w:hAnsi="Times New Roman"/>
                <w:b/>
                <w:sz w:val="18"/>
                <w:szCs w:val="18"/>
              </w:rPr>
              <w:t>4</w:t>
            </w:r>
          </w:p>
        </w:tc>
      </w:tr>
      <w:tr w:rsidR="005A1666" w:rsidRPr="004778E3" w14:paraId="42B15CAE" w14:textId="77777777" w:rsidTr="005A1666">
        <w:trPr>
          <w:trHeight w:hRule="exact" w:val="680"/>
        </w:trPr>
        <w:tc>
          <w:tcPr>
            <w:tcW w:w="666" w:type="pct"/>
            <w:vMerge/>
            <w:tcBorders>
              <w:left w:val="double" w:sz="4" w:space="0" w:color="000000"/>
              <w:bottom w:val="double" w:sz="4" w:space="0" w:color="000000"/>
            </w:tcBorders>
          </w:tcPr>
          <w:p w14:paraId="21BD7D92" w14:textId="77777777" w:rsidR="005A1666" w:rsidRPr="004778E3" w:rsidRDefault="005A1666" w:rsidP="00567B7D">
            <w:pPr>
              <w:suppressAutoHyphens/>
              <w:spacing w:before="120" w:after="120"/>
              <w:rPr>
                <w:rFonts w:ascii="Times New Roman" w:hAnsi="Times New Roman"/>
                <w:sz w:val="18"/>
                <w:szCs w:val="18"/>
              </w:rPr>
            </w:pPr>
          </w:p>
        </w:tc>
        <w:tc>
          <w:tcPr>
            <w:tcW w:w="4130" w:type="pct"/>
            <w:tcBorders>
              <w:bottom w:val="double" w:sz="4" w:space="0" w:color="000000"/>
              <w:right w:val="single" w:sz="12" w:space="0" w:color="000000"/>
            </w:tcBorders>
            <w:shd w:val="clear" w:color="auto" w:fill="EEECE1" w:themeFill="background2"/>
          </w:tcPr>
          <w:p w14:paraId="7D871F14" w14:textId="4577AB3A" w:rsidR="005A1666" w:rsidRPr="004778E3" w:rsidRDefault="00B60BAE" w:rsidP="00567B7D">
            <w:pPr>
              <w:suppressAutoHyphens/>
              <w:spacing w:before="120" w:after="120"/>
              <w:rPr>
                <w:rFonts w:ascii="Times New Roman" w:hAnsi="Times New Roman"/>
                <w:sz w:val="18"/>
                <w:szCs w:val="18"/>
              </w:rPr>
            </w:pPr>
            <w:r>
              <w:rPr>
                <w:rFonts w:ascii="Times New Roman" w:hAnsi="Times New Roman"/>
                <w:sz w:val="18"/>
                <w:szCs w:val="18"/>
              </w:rPr>
              <w:t>o</w:t>
            </w:r>
            <w:r w:rsidR="005A1666" w:rsidRPr="004778E3">
              <w:rPr>
                <w:rFonts w:ascii="Times New Roman" w:hAnsi="Times New Roman"/>
                <w:sz w:val="18"/>
                <w:szCs w:val="18"/>
              </w:rPr>
              <w:t xml:space="preserve">sób ubiegających się o stopień doktora – studiujących co najmniej rok w ramach programów typu </w:t>
            </w:r>
            <w:r w:rsidR="005A1666" w:rsidRPr="004778E3">
              <w:rPr>
                <w:rFonts w:ascii="Times New Roman" w:hAnsi="Times New Roman"/>
                <w:b/>
                <w:sz w:val="18"/>
                <w:szCs w:val="18"/>
              </w:rPr>
              <w:t>Erasmus</w:t>
            </w:r>
          </w:p>
        </w:tc>
        <w:tc>
          <w:tcPr>
            <w:tcW w:w="204" w:type="pct"/>
            <w:tcBorders>
              <w:top w:val="single" w:sz="2" w:space="0" w:color="000000"/>
              <w:left w:val="single" w:sz="12" w:space="0" w:color="000000"/>
              <w:bottom w:val="single" w:sz="12" w:space="0" w:color="000000"/>
              <w:right w:val="single" w:sz="12" w:space="0" w:color="000000"/>
            </w:tcBorders>
            <w:shd w:val="clear" w:color="auto" w:fill="EEECE1" w:themeFill="background2"/>
            <w:vAlign w:val="center"/>
          </w:tcPr>
          <w:p w14:paraId="43C048B0" w14:textId="44CD5550" w:rsidR="005A1666" w:rsidRPr="004778E3" w:rsidRDefault="00CF06C2" w:rsidP="00567B7D">
            <w:pPr>
              <w:suppressAutoHyphens/>
              <w:spacing w:before="120" w:after="120"/>
              <w:jc w:val="center"/>
              <w:rPr>
                <w:rFonts w:ascii="Times New Roman" w:hAnsi="Times New Roman"/>
                <w:b/>
                <w:sz w:val="18"/>
                <w:szCs w:val="18"/>
              </w:rPr>
            </w:pPr>
            <w:r>
              <w:rPr>
                <w:rFonts w:ascii="Times New Roman" w:hAnsi="Times New Roman"/>
                <w:b/>
                <w:sz w:val="18"/>
                <w:szCs w:val="18"/>
              </w:rPr>
              <w:t>5</w:t>
            </w:r>
          </w:p>
        </w:tc>
      </w:tr>
    </w:tbl>
    <w:p w14:paraId="293D69C3" w14:textId="77777777" w:rsidR="00C60E9B" w:rsidRPr="004778E3" w:rsidRDefault="00C60E9B" w:rsidP="00C60E9B"/>
    <w:p w14:paraId="340F1C8E" w14:textId="1F904BDA" w:rsidR="00D70BC5" w:rsidRPr="004778E3" w:rsidRDefault="00D70BC5" w:rsidP="00D70BC5">
      <w:r w:rsidRPr="004778E3">
        <w:rPr>
          <w:b/>
        </w:rPr>
        <w:t>Uwaga</w:t>
      </w:r>
      <w:r w:rsidRPr="004778E3">
        <w:t xml:space="preserve">: Uczelnie prowadzące filie wypełniają sprawozdanie </w:t>
      </w:r>
      <w:r w:rsidRPr="004778E3">
        <w:rPr>
          <w:b/>
        </w:rPr>
        <w:t>łącznie z tymi filiami</w:t>
      </w:r>
      <w:r w:rsidRPr="004778E3">
        <w:t xml:space="preserve">, a ponadto </w:t>
      </w:r>
      <w:r w:rsidRPr="004778E3">
        <w:rPr>
          <w:b/>
        </w:rPr>
        <w:t>odrębne sprawozdanie dla każdej filii</w:t>
      </w:r>
      <w:r w:rsidRPr="004778E3">
        <w:t>, które wypełniają działy 1, 2, 3, 4, 5, 6, 7, 8, 9, 10</w:t>
      </w:r>
      <w:r w:rsidR="00B60BAE">
        <w:t>,</w:t>
      </w:r>
      <w:r w:rsidRPr="004778E3">
        <w:t xml:space="preserve"> 11</w:t>
      </w:r>
      <w:r w:rsidR="00B60BAE">
        <w:t xml:space="preserve"> i 12.</w:t>
      </w:r>
    </w:p>
    <w:p w14:paraId="42C74EB3" w14:textId="77777777" w:rsidR="00D70BC5" w:rsidRPr="004778E3" w:rsidRDefault="00D70BC5" w:rsidP="00D70BC5">
      <w:pPr>
        <w:rPr>
          <w:b/>
        </w:rPr>
      </w:pPr>
    </w:p>
    <w:p w14:paraId="7322FE11" w14:textId="77777777" w:rsidR="00D70BC5" w:rsidRPr="004778E3" w:rsidRDefault="00D70BC5" w:rsidP="00D70BC5">
      <w:r w:rsidRPr="004778E3">
        <w:rPr>
          <w:b/>
        </w:rPr>
        <w:t>Ważne</w:t>
      </w:r>
      <w:r w:rsidRPr="004778E3">
        <w:t xml:space="preserve">: </w:t>
      </w:r>
    </w:p>
    <w:p w14:paraId="2079D899" w14:textId="7C2596CF" w:rsidR="00D70BC5" w:rsidRPr="004778E3" w:rsidRDefault="00D70BC5" w:rsidP="00B10CAB">
      <w:pPr>
        <w:pStyle w:val="Akapitzlist"/>
        <w:numPr>
          <w:ilvl w:val="0"/>
          <w:numId w:val="17"/>
        </w:numPr>
        <w:jc w:val="left"/>
      </w:pPr>
      <w:r w:rsidRPr="004778E3">
        <w:t xml:space="preserve">W sekcji </w:t>
      </w:r>
      <w:r w:rsidRPr="00B60BAE">
        <w:rPr>
          <w:u w:val="single"/>
        </w:rPr>
        <w:t>bez cudzoziemców</w:t>
      </w:r>
      <w:r w:rsidRPr="004778E3">
        <w:t xml:space="preserve"> (</w:t>
      </w:r>
      <w:r w:rsidR="00CF06C2">
        <w:t>sekcja</w:t>
      </w:r>
      <w:r w:rsidR="00CF06C2" w:rsidRPr="004778E3">
        <w:t xml:space="preserve"> </w:t>
      </w:r>
      <w:r w:rsidRPr="004778E3">
        <w:t xml:space="preserve">1) należy wypełnić wszystkie działy z wyjątkiem działów: 2, </w:t>
      </w:r>
      <w:r w:rsidR="00B60BAE">
        <w:t>10 i 14</w:t>
      </w:r>
    </w:p>
    <w:p w14:paraId="7D773A53" w14:textId="4DF2E5E6" w:rsidR="00D70BC5" w:rsidRPr="004778E3" w:rsidRDefault="00D70BC5" w:rsidP="00D70BC5">
      <w:pPr>
        <w:pStyle w:val="Akapitzlist"/>
        <w:numPr>
          <w:ilvl w:val="0"/>
          <w:numId w:val="17"/>
        </w:numPr>
      </w:pPr>
      <w:r w:rsidRPr="004778E3">
        <w:t xml:space="preserve">W sekcji </w:t>
      </w:r>
      <w:r w:rsidRPr="00B60BAE">
        <w:rPr>
          <w:u w:val="single"/>
        </w:rPr>
        <w:t>dla cudzoziemców</w:t>
      </w:r>
      <w:r w:rsidRPr="004778E3">
        <w:t xml:space="preserve"> (</w:t>
      </w:r>
      <w:r w:rsidR="00CF06C2">
        <w:t>sekcja</w:t>
      </w:r>
      <w:r w:rsidR="00CF06C2" w:rsidRPr="004778E3">
        <w:t xml:space="preserve"> </w:t>
      </w:r>
      <w:r w:rsidRPr="004778E3">
        <w:t xml:space="preserve">2) należy wypełnić wszystkie działy. </w:t>
      </w:r>
    </w:p>
    <w:p w14:paraId="62056CB3" w14:textId="49176C53" w:rsidR="00D70BC5" w:rsidRDefault="00D70BC5" w:rsidP="00D70BC5">
      <w:pPr>
        <w:pStyle w:val="Akapitzlist"/>
        <w:numPr>
          <w:ilvl w:val="0"/>
          <w:numId w:val="17"/>
        </w:numPr>
      </w:pPr>
      <w:r w:rsidRPr="004778E3">
        <w:t>Natomiast w sekcj</w:t>
      </w:r>
      <w:r w:rsidR="00CF06C2">
        <w:t>ach</w:t>
      </w:r>
      <w:r w:rsidRPr="004778E3">
        <w:t xml:space="preserve"> dla</w:t>
      </w:r>
      <w:r w:rsidR="00CF06C2">
        <w:t xml:space="preserve"> cudzoziemców i</w:t>
      </w:r>
      <w:r w:rsidRPr="004778E3">
        <w:t xml:space="preserve"> Polaków, </w:t>
      </w:r>
      <w:r w:rsidRPr="00B60BAE">
        <w:rPr>
          <w:u w:val="single"/>
        </w:rPr>
        <w:t>którzy otrzymali świadectwo dojrzałości lub jego odpowiednik poza Polską</w:t>
      </w:r>
      <w:r w:rsidRPr="004778E3">
        <w:t xml:space="preserve"> (</w:t>
      </w:r>
      <w:r w:rsidR="00CF06C2">
        <w:t>sekcja</w:t>
      </w:r>
      <w:r w:rsidR="00CF06C2" w:rsidRPr="004778E3">
        <w:t xml:space="preserve"> </w:t>
      </w:r>
      <w:r w:rsidRPr="004778E3">
        <w:t>3</w:t>
      </w:r>
      <w:r w:rsidR="00CF06C2">
        <w:t xml:space="preserve"> i 4</w:t>
      </w:r>
      <w:r w:rsidRPr="004778E3">
        <w:t>), należy wypełnić działy 1 – 1</w:t>
      </w:r>
      <w:r w:rsidR="00B60BAE">
        <w:t>2</w:t>
      </w:r>
      <w:r w:rsidRPr="004778E3">
        <w:t>.</w:t>
      </w:r>
    </w:p>
    <w:p w14:paraId="3FF7A6A3" w14:textId="63F5F743" w:rsidR="00CF06C2" w:rsidRPr="004778E3" w:rsidRDefault="00CF06C2" w:rsidP="00D70BC5">
      <w:pPr>
        <w:pStyle w:val="Akapitzlist"/>
        <w:numPr>
          <w:ilvl w:val="0"/>
          <w:numId w:val="17"/>
        </w:numPr>
      </w:pPr>
      <w:r>
        <w:t>Osoby wykazane w sekcjach 3 i 4 powinny być również ujęte w sekcjach 1 lub 2.</w:t>
      </w:r>
    </w:p>
    <w:p w14:paraId="0527F442" w14:textId="77777777" w:rsidR="00DA163D" w:rsidRPr="004778E3" w:rsidRDefault="00DA163D" w:rsidP="004043E8">
      <w:pPr>
        <w:pStyle w:val="Nagwek1"/>
      </w:pPr>
      <w:r w:rsidRPr="004778E3">
        <w:t>Objaśnienia szczegółowe</w:t>
      </w:r>
    </w:p>
    <w:p w14:paraId="68D24AA9" w14:textId="77777777" w:rsidR="00C60E9B" w:rsidRPr="004778E3" w:rsidRDefault="00C60E9B" w:rsidP="004043E8">
      <w:pPr>
        <w:pStyle w:val="Nagwek2"/>
      </w:pPr>
      <w:r w:rsidRPr="004778E3">
        <w:t>Dział 1</w:t>
      </w:r>
    </w:p>
    <w:p w14:paraId="6687288F" w14:textId="77777777" w:rsidR="00D70BC5" w:rsidRPr="004778E3" w:rsidRDefault="00D70BC5" w:rsidP="009F1794">
      <w:pPr>
        <w:pStyle w:val="Akapitzlist"/>
        <w:numPr>
          <w:ilvl w:val="0"/>
          <w:numId w:val="19"/>
        </w:numPr>
      </w:pPr>
      <w:r w:rsidRPr="004778E3">
        <w:t xml:space="preserve">Wypełniają jednostki, które prowadzą studia podyplomowe lub/i kształcenie specjalistyczne. </w:t>
      </w:r>
    </w:p>
    <w:p w14:paraId="6A2BD6C1" w14:textId="77777777" w:rsidR="009F1794" w:rsidRPr="004778E3" w:rsidRDefault="00D70BC5" w:rsidP="009F1794">
      <w:pPr>
        <w:pStyle w:val="Akapitzlist"/>
        <w:numPr>
          <w:ilvl w:val="0"/>
          <w:numId w:val="19"/>
        </w:numPr>
      </w:pPr>
      <w:r w:rsidRPr="004778E3">
        <w:t xml:space="preserve">Należy wykazać wszystkie studia podyplomowe i kształcenie specjalistyczne, bez względu na formę finansowania. </w:t>
      </w:r>
    </w:p>
    <w:p w14:paraId="2EDA9E07" w14:textId="77777777" w:rsidR="00D70BC5" w:rsidRPr="004778E3" w:rsidRDefault="00D70BC5" w:rsidP="009F1794">
      <w:pPr>
        <w:pStyle w:val="Akapitzlist"/>
        <w:numPr>
          <w:ilvl w:val="0"/>
          <w:numId w:val="19"/>
        </w:numPr>
      </w:pPr>
      <w:r w:rsidRPr="004778E3">
        <w:t>Dział należy wypełnić na podstawie Międzynarodowej Klasyfikacji Kierunków Kształcenia ISCED-F.</w:t>
      </w:r>
    </w:p>
    <w:p w14:paraId="13ED4C4F" w14:textId="77777777" w:rsidR="00D92462" w:rsidRPr="004778E3" w:rsidRDefault="00D92462" w:rsidP="004043E8">
      <w:pPr>
        <w:pStyle w:val="Nagwek2"/>
      </w:pPr>
      <w:r w:rsidRPr="004778E3">
        <w:lastRenderedPageBreak/>
        <w:t>Dział 2</w:t>
      </w:r>
    </w:p>
    <w:p w14:paraId="11953D68" w14:textId="1CA4540C" w:rsidR="00D70BC5" w:rsidRDefault="00D70BC5" w:rsidP="009F1794">
      <w:pPr>
        <w:pStyle w:val="Akapitzlist"/>
        <w:numPr>
          <w:ilvl w:val="0"/>
          <w:numId w:val="20"/>
        </w:numPr>
        <w:rPr>
          <w:b/>
        </w:rPr>
      </w:pPr>
      <w:r w:rsidRPr="004778E3">
        <w:rPr>
          <w:b/>
        </w:rPr>
        <w:t>Wypełniają wyłącznie jednostki</w:t>
      </w:r>
      <w:r w:rsidR="00B5058A" w:rsidRPr="004778E3">
        <w:rPr>
          <w:b/>
        </w:rPr>
        <w:t xml:space="preserve"> w sekcjach </w:t>
      </w:r>
      <w:r w:rsidR="009F1794" w:rsidRPr="004778E3">
        <w:rPr>
          <w:b/>
        </w:rPr>
        <w:t>2</w:t>
      </w:r>
      <w:r w:rsidR="00345A3B">
        <w:rPr>
          <w:b/>
        </w:rPr>
        <w:t>, 3</w:t>
      </w:r>
      <w:r w:rsidR="009F1794" w:rsidRPr="004778E3">
        <w:rPr>
          <w:b/>
        </w:rPr>
        <w:t xml:space="preserve"> i </w:t>
      </w:r>
      <w:r w:rsidR="00345A3B">
        <w:rPr>
          <w:b/>
        </w:rPr>
        <w:t>4</w:t>
      </w:r>
    </w:p>
    <w:p w14:paraId="7FCEC783" w14:textId="7936D2BB" w:rsidR="00940B0D" w:rsidRPr="00B448C3" w:rsidRDefault="00940B0D" w:rsidP="009F1794">
      <w:pPr>
        <w:pStyle w:val="Akapitzlist"/>
        <w:numPr>
          <w:ilvl w:val="0"/>
          <w:numId w:val="20"/>
        </w:numPr>
        <w:rPr>
          <w:b/>
        </w:rPr>
      </w:pPr>
      <w:r>
        <w:rPr>
          <w:bCs/>
        </w:rPr>
        <w:t>W sekcji 2 należy ująć cudzoziemców (osoby niebędące obywatelami polskimi) na studiach podyplomowych lub w formie kształcenia specjalistycznego.</w:t>
      </w:r>
    </w:p>
    <w:p w14:paraId="6F87D89E" w14:textId="7BC0B6B9" w:rsidR="00940B0D" w:rsidRPr="00345A3B" w:rsidRDefault="00940B0D" w:rsidP="009F1794">
      <w:pPr>
        <w:pStyle w:val="Akapitzlist"/>
        <w:numPr>
          <w:ilvl w:val="0"/>
          <w:numId w:val="20"/>
        </w:numPr>
        <w:rPr>
          <w:b/>
        </w:rPr>
      </w:pPr>
      <w:r>
        <w:rPr>
          <w:bCs/>
        </w:rPr>
        <w:t xml:space="preserve">W sekcji 3 należy ująć wszystkie osoby, które otrzymały świadectwo dojrzałości lub jego odpowiednik poza Polską </w:t>
      </w:r>
      <w:r w:rsidR="00345A3B">
        <w:rPr>
          <w:bCs/>
        </w:rPr>
        <w:t>– wyłącznie cudzoziemcy.</w:t>
      </w:r>
    </w:p>
    <w:p w14:paraId="36873A0B" w14:textId="4C7B33BB" w:rsidR="00345A3B" w:rsidRPr="00345A3B" w:rsidRDefault="00345A3B" w:rsidP="00345A3B">
      <w:pPr>
        <w:pStyle w:val="Akapitzlist"/>
        <w:numPr>
          <w:ilvl w:val="0"/>
          <w:numId w:val="20"/>
        </w:numPr>
        <w:rPr>
          <w:b/>
        </w:rPr>
      </w:pPr>
      <w:r>
        <w:rPr>
          <w:bCs/>
        </w:rPr>
        <w:t xml:space="preserve">W sekcji </w:t>
      </w:r>
      <w:r>
        <w:rPr>
          <w:bCs/>
        </w:rPr>
        <w:t>4</w:t>
      </w:r>
      <w:r>
        <w:rPr>
          <w:bCs/>
        </w:rPr>
        <w:t xml:space="preserve"> należy ująć wszystkie osoby, które otrzymały świadectwo dojrzałości lub jego odpowiednik poza Polską – wyłącznie </w:t>
      </w:r>
      <w:r>
        <w:rPr>
          <w:bCs/>
        </w:rPr>
        <w:t>osoby posiadające obywatelstwo polskie</w:t>
      </w:r>
      <w:r>
        <w:rPr>
          <w:bCs/>
        </w:rPr>
        <w:t>.</w:t>
      </w:r>
    </w:p>
    <w:p w14:paraId="16B2AC51" w14:textId="68A0C2B1" w:rsidR="00940B0D" w:rsidRDefault="00940B0D" w:rsidP="00B45704"/>
    <w:p w14:paraId="26F5F950" w14:textId="338F2CB3" w:rsidR="00D70BC5" w:rsidRPr="004778E3" w:rsidRDefault="009F1794" w:rsidP="00B45704">
      <w:r w:rsidRPr="004778E3">
        <w:rPr>
          <w:b/>
        </w:rPr>
        <w:t>Uwaga</w:t>
      </w:r>
      <w:r w:rsidRPr="004778E3">
        <w:t>:</w:t>
      </w:r>
      <w:r w:rsidR="00D70BC5" w:rsidRPr="004778E3">
        <w:t xml:space="preserve"> Każdy </w:t>
      </w:r>
      <w:r w:rsidR="00B45704" w:rsidRPr="004778E3">
        <w:t xml:space="preserve">uczestnik </w:t>
      </w:r>
      <w:r w:rsidR="00D70BC5" w:rsidRPr="004778E3">
        <w:t>powinien być wykazany tylko raz – niezależnie na ilu studiach podyplomowych lub w ilu rodzajach kształcenia specjalistycznego brał udział.</w:t>
      </w:r>
    </w:p>
    <w:p w14:paraId="456A4156" w14:textId="77777777" w:rsidR="00D92462" w:rsidRPr="004778E3" w:rsidRDefault="00D92462" w:rsidP="004043E8">
      <w:pPr>
        <w:pStyle w:val="Nagwek2"/>
      </w:pPr>
      <w:r w:rsidRPr="004778E3">
        <w:t>Dział 3</w:t>
      </w:r>
    </w:p>
    <w:p w14:paraId="185960D4" w14:textId="77777777" w:rsidR="00D70BC5" w:rsidRPr="004778E3" w:rsidRDefault="00D70BC5" w:rsidP="006220E4">
      <w:pPr>
        <w:pStyle w:val="Akapitzlist"/>
        <w:numPr>
          <w:ilvl w:val="0"/>
          <w:numId w:val="21"/>
        </w:numPr>
      </w:pPr>
      <w:r w:rsidRPr="004778E3">
        <w:t>Wypełniają jednostki, które prowadzą studia podyplomowe lub kształcenie specjalistyczne.</w:t>
      </w:r>
    </w:p>
    <w:p w14:paraId="37E45DAA" w14:textId="77777777" w:rsidR="00D70BC5" w:rsidRPr="004778E3" w:rsidRDefault="006220E4" w:rsidP="006220E4">
      <w:r w:rsidRPr="004778E3">
        <w:rPr>
          <w:b/>
        </w:rPr>
        <w:t>Uwaga</w:t>
      </w:r>
      <w:r w:rsidRPr="004778E3">
        <w:t>:</w:t>
      </w:r>
      <w:r w:rsidR="00D70BC5" w:rsidRPr="004778E3">
        <w:t xml:space="preserve"> Każdy uczestnik studiów podyplomowych lub uczestnik kształcenia specjalistycznego powinien być wykazany tylko raz – niezależnie na ilu studiach podyplomowych lub w ilu rodzajach kształcenia specjalistycznego brał udział.</w:t>
      </w:r>
    </w:p>
    <w:p w14:paraId="4EEA0285" w14:textId="77777777" w:rsidR="00D92462" w:rsidRPr="004778E3" w:rsidRDefault="00D92462" w:rsidP="004043E8">
      <w:pPr>
        <w:pStyle w:val="Nagwek2"/>
      </w:pPr>
      <w:r w:rsidRPr="004778E3">
        <w:t>Dział 4</w:t>
      </w:r>
    </w:p>
    <w:p w14:paraId="026F9843" w14:textId="77777777" w:rsidR="00D70BC5" w:rsidRPr="004778E3" w:rsidRDefault="00D70BC5" w:rsidP="006220E4">
      <w:pPr>
        <w:pStyle w:val="Akapitzlist"/>
        <w:numPr>
          <w:ilvl w:val="0"/>
          <w:numId w:val="21"/>
        </w:numPr>
      </w:pPr>
      <w:r w:rsidRPr="004778E3">
        <w:t>Wypełniają jednostki, które prowadzą studia doktoranckie.</w:t>
      </w:r>
    </w:p>
    <w:p w14:paraId="0E31040E" w14:textId="44574BB1" w:rsidR="00D70BC5" w:rsidRDefault="00D70BC5" w:rsidP="006220E4">
      <w:pPr>
        <w:pStyle w:val="Akapitzlist"/>
        <w:numPr>
          <w:ilvl w:val="0"/>
          <w:numId w:val="21"/>
        </w:numPr>
      </w:pPr>
      <w:r w:rsidRPr="004778E3">
        <w:t xml:space="preserve">Doktorantów należy wypełnić na podstawie klasyfikacji dziedzin nauki </w:t>
      </w:r>
      <w:r w:rsidR="00B448C3">
        <w:t>i sztuki oraz</w:t>
      </w:r>
      <w:r w:rsidR="00B448C3" w:rsidRPr="004778E3">
        <w:t xml:space="preserve"> </w:t>
      </w:r>
      <w:r w:rsidRPr="004778E3">
        <w:t>dyscyplin naukowych</w:t>
      </w:r>
      <w:r w:rsidR="004B2B24">
        <w:t xml:space="preserve"> i </w:t>
      </w:r>
      <w:r w:rsidR="00B448C3">
        <w:t>artystycznych</w:t>
      </w:r>
      <w:r w:rsidRPr="004778E3">
        <w:t xml:space="preserve">, określonych w rozporządzeniu Ministra Nauki i Szkolnictwa Wyższego z dnia 8 sierpnia 2011 r. w sprawie obszarów wiedzy, dziedzin nauki i sztuki oraz dyscyplin naukowych i artystycznych (Dz. U. z 2011 r., Nr 179, poz. 1065) oraz klasyfikacji dziedzin nauki </w:t>
      </w:r>
      <w:r w:rsidR="006220E4" w:rsidRPr="004778E3">
        <w:br/>
      </w:r>
      <w:r w:rsidRPr="004778E3">
        <w:t xml:space="preserve">i dyscyplin naukowych oraz dyscyplin artystycznych, określonych </w:t>
      </w:r>
      <w:r w:rsidR="005C7EE6">
        <w:t xml:space="preserve">w rozporządzeniu Ministra Edukacji i Nauki z dnia 11 października 2022 r. w sprawie dziedzin nauki i dyscyplin naukowych oraz dyscyplin artystycznych (Dz. U. poz. 2202, z </w:t>
      </w:r>
      <w:proofErr w:type="spellStart"/>
      <w:r w:rsidR="005C7EE6">
        <w:t>późn</w:t>
      </w:r>
      <w:proofErr w:type="spellEnd"/>
      <w:r w:rsidR="005C7EE6">
        <w:t>. zm.)”</w:t>
      </w:r>
    </w:p>
    <w:p w14:paraId="3516CE05" w14:textId="63FFA056" w:rsidR="00B448C3" w:rsidRPr="004778E3" w:rsidRDefault="00B448C3" w:rsidP="006220E4">
      <w:pPr>
        <w:pStyle w:val="Akapitzlist"/>
        <w:numPr>
          <w:ilvl w:val="0"/>
          <w:numId w:val="21"/>
        </w:numPr>
      </w:pPr>
      <w:r>
        <w:t xml:space="preserve">Należy również ująć doktorantów </w:t>
      </w:r>
      <w:r w:rsidR="004B2B24">
        <w:t xml:space="preserve">kształcących się </w:t>
      </w:r>
      <w:r>
        <w:t>przynajmniej rok akademicki w ramach programu Erasmus.</w:t>
      </w:r>
    </w:p>
    <w:p w14:paraId="09754C08" w14:textId="77777777" w:rsidR="00D70BC5" w:rsidRPr="004778E3" w:rsidRDefault="00D70BC5" w:rsidP="006220E4">
      <w:pPr>
        <w:pStyle w:val="Akapitzlist"/>
        <w:numPr>
          <w:ilvl w:val="0"/>
          <w:numId w:val="21"/>
        </w:numPr>
      </w:pPr>
      <w:r w:rsidRPr="004778E3">
        <w:rPr>
          <w:b/>
        </w:rPr>
        <w:t xml:space="preserve">W </w:t>
      </w:r>
      <w:r w:rsidR="006220E4" w:rsidRPr="004778E3">
        <w:rPr>
          <w:b/>
        </w:rPr>
        <w:t>sekcji</w:t>
      </w:r>
      <w:r w:rsidRPr="004778E3">
        <w:rPr>
          <w:b/>
        </w:rPr>
        <w:t xml:space="preserve"> dla cudzoziemców</w:t>
      </w:r>
      <w:r w:rsidRPr="004778E3">
        <w:t xml:space="preserve"> należy wykazać osoby niebędące obywatelami polskimi.</w:t>
      </w:r>
    </w:p>
    <w:p w14:paraId="73F28933" w14:textId="77777777" w:rsidR="00D92462" w:rsidRPr="004778E3" w:rsidRDefault="00C60E9B" w:rsidP="00D70BC5">
      <w:pPr>
        <w:pStyle w:val="Nagwek2"/>
      </w:pPr>
      <w:r w:rsidRPr="004778E3">
        <w:t>Dział 5</w:t>
      </w:r>
    </w:p>
    <w:p w14:paraId="3A864F81" w14:textId="77777777" w:rsidR="00D70BC5" w:rsidRPr="004778E3" w:rsidRDefault="00D70BC5" w:rsidP="006220E4">
      <w:pPr>
        <w:pStyle w:val="Akapitzlist"/>
        <w:numPr>
          <w:ilvl w:val="0"/>
          <w:numId w:val="22"/>
        </w:numPr>
      </w:pPr>
      <w:r w:rsidRPr="004778E3">
        <w:t xml:space="preserve">Wypełniają jednostki, które prowadzą studia doktoranckie. </w:t>
      </w:r>
    </w:p>
    <w:p w14:paraId="4DA4E9F2" w14:textId="77777777" w:rsidR="00D70BC5" w:rsidRPr="004778E3" w:rsidRDefault="00D70BC5" w:rsidP="006220E4">
      <w:pPr>
        <w:pStyle w:val="Akapitzlist"/>
        <w:numPr>
          <w:ilvl w:val="0"/>
          <w:numId w:val="22"/>
        </w:numPr>
      </w:pPr>
      <w:r w:rsidRPr="004778E3">
        <w:t xml:space="preserve">Dział należy wypełnić na podstawie Międzynarodowej Klasyfikacji Kierunków Kształcenia ISCED-F. </w:t>
      </w:r>
    </w:p>
    <w:p w14:paraId="4AAFB9D6" w14:textId="77777777" w:rsidR="00D70BC5" w:rsidRPr="004778E3" w:rsidRDefault="00D70BC5" w:rsidP="006220E4">
      <w:pPr>
        <w:pStyle w:val="Akapitzlist"/>
        <w:numPr>
          <w:ilvl w:val="0"/>
          <w:numId w:val="22"/>
        </w:numPr>
      </w:pPr>
      <w:r w:rsidRPr="004778E3">
        <w:rPr>
          <w:b/>
        </w:rPr>
        <w:t xml:space="preserve">W </w:t>
      </w:r>
      <w:r w:rsidR="006220E4" w:rsidRPr="004778E3">
        <w:rPr>
          <w:b/>
        </w:rPr>
        <w:t>sekcji</w:t>
      </w:r>
      <w:r w:rsidRPr="004778E3">
        <w:rPr>
          <w:b/>
        </w:rPr>
        <w:t xml:space="preserve"> dla cudzoziemców</w:t>
      </w:r>
      <w:r w:rsidRPr="004778E3">
        <w:t xml:space="preserve"> należy wykazać osoby niebędące obywatelami polskimi.</w:t>
      </w:r>
    </w:p>
    <w:p w14:paraId="5279272D" w14:textId="77777777" w:rsidR="00C60E9B" w:rsidRPr="004778E3" w:rsidRDefault="00D92462" w:rsidP="00D70BC5">
      <w:pPr>
        <w:pStyle w:val="Nagwek2"/>
      </w:pPr>
      <w:r w:rsidRPr="004778E3">
        <w:t>Dział 6</w:t>
      </w:r>
    </w:p>
    <w:p w14:paraId="0CE0BA6C" w14:textId="77777777" w:rsidR="00ED6324" w:rsidRDefault="00D70BC5" w:rsidP="00ED6324">
      <w:pPr>
        <w:pStyle w:val="Akapitzlist"/>
        <w:numPr>
          <w:ilvl w:val="0"/>
          <w:numId w:val="23"/>
        </w:numPr>
      </w:pPr>
      <w:r w:rsidRPr="004778E3">
        <w:t xml:space="preserve">Wypełniają jednostki, które prowadzą szkołę doktorską oraz podmioty doktoryzujące, tj. jednostki, które nadały stopień doktora osobom, które ukończyły szkołę doktorską. </w:t>
      </w:r>
    </w:p>
    <w:p w14:paraId="14BC73B8" w14:textId="60B6F7AE" w:rsidR="00A767F7" w:rsidRPr="004778E3" w:rsidRDefault="00A767F7" w:rsidP="00ED6324">
      <w:pPr>
        <w:pStyle w:val="Akapitzlist"/>
        <w:numPr>
          <w:ilvl w:val="0"/>
          <w:numId w:val="23"/>
        </w:numPr>
      </w:pPr>
      <w:r>
        <w:t xml:space="preserve">Należy również ująć doktorantów </w:t>
      </w:r>
      <w:r w:rsidR="004B2B24">
        <w:t xml:space="preserve">kształcących się </w:t>
      </w:r>
      <w:r>
        <w:t>przynajmniej rok akademicki w ramach programu Erasmus.</w:t>
      </w:r>
    </w:p>
    <w:p w14:paraId="245C893E" w14:textId="502D9E48" w:rsidR="00ED6324" w:rsidRPr="004778E3" w:rsidRDefault="00ED6324" w:rsidP="00D57471">
      <w:pPr>
        <w:pStyle w:val="Akapitzlist"/>
        <w:numPr>
          <w:ilvl w:val="0"/>
          <w:numId w:val="23"/>
        </w:numPr>
      </w:pPr>
      <w:r w:rsidRPr="004778E3">
        <w:rPr>
          <w:b/>
          <w:u w:val="single"/>
        </w:rPr>
        <w:t>Uwaga</w:t>
      </w:r>
      <w:r w:rsidRPr="004778E3">
        <w:t xml:space="preserve">: </w:t>
      </w:r>
      <w:r w:rsidR="00D70BC5" w:rsidRPr="004778E3">
        <w:rPr>
          <w:b/>
        </w:rPr>
        <w:t xml:space="preserve">każda jednostka wypełnia rubryki wg kompetencji, tzn. jeżeli osoba kształciła się </w:t>
      </w:r>
      <w:r w:rsidR="00B126C8" w:rsidRPr="004778E3">
        <w:rPr>
          <w:b/>
        </w:rPr>
        <w:br/>
      </w:r>
      <w:r w:rsidR="00D70BC5" w:rsidRPr="004778E3">
        <w:rPr>
          <w:b/>
        </w:rPr>
        <w:t xml:space="preserve">w szkole doktorskiej a następnie uzyskała w tym samym podmiocie stopień doktora, to ten podmiot wypełnia cały dział. Jeżeli osoba ukończyła szkołę doktorską w jednym podmiocie </w:t>
      </w:r>
      <w:r w:rsidRPr="004778E3">
        <w:rPr>
          <w:b/>
        </w:rPr>
        <w:br/>
      </w:r>
      <w:r w:rsidR="00D70BC5" w:rsidRPr="004778E3">
        <w:rPr>
          <w:b/>
        </w:rPr>
        <w:t>a doktoryzowała się w innym, to podmiot prowadzący szkołę doktorską wypełnia rubryki 2-5</w:t>
      </w:r>
      <w:r w:rsidR="00C21CDA">
        <w:rPr>
          <w:b/>
        </w:rPr>
        <w:t>,</w:t>
      </w:r>
      <w:r w:rsidR="00D70BC5" w:rsidRPr="004778E3">
        <w:rPr>
          <w:b/>
        </w:rPr>
        <w:t xml:space="preserve"> </w:t>
      </w:r>
      <w:r w:rsidRPr="004778E3">
        <w:rPr>
          <w:b/>
        </w:rPr>
        <w:br/>
      </w:r>
      <w:r w:rsidR="00D70BC5" w:rsidRPr="004778E3">
        <w:rPr>
          <w:b/>
        </w:rPr>
        <w:t>a podmiot doktoryzujący rubr. 6-9.</w:t>
      </w:r>
      <w:r w:rsidR="00D70BC5" w:rsidRPr="004778E3">
        <w:t xml:space="preserve"> </w:t>
      </w:r>
    </w:p>
    <w:p w14:paraId="0D09D85B" w14:textId="44C0CCEC" w:rsidR="00D70BC5" w:rsidRPr="004778E3" w:rsidRDefault="00D70BC5" w:rsidP="00ED6324">
      <w:pPr>
        <w:pStyle w:val="Akapitzlist"/>
        <w:numPr>
          <w:ilvl w:val="0"/>
          <w:numId w:val="23"/>
        </w:numPr>
      </w:pPr>
      <w:r w:rsidRPr="004778E3">
        <w:t xml:space="preserve">Dział ten należy wypełnić na podstawie klasyfikacji dziedzin nauki i dyscyplin naukowych oraz dyscyplin artystycznych, określonych </w:t>
      </w:r>
      <w:r w:rsidR="005C7EE6">
        <w:t xml:space="preserve">w rozporządzeniu Ministra Edukacji i Nauki z dnia 11 </w:t>
      </w:r>
      <w:r w:rsidR="005C7EE6">
        <w:lastRenderedPageBreak/>
        <w:t xml:space="preserve">października 2022 r. w sprawie dziedzin nauki i dyscyplin naukowych oraz dyscyplin artystycznych (Dz. U. poz. 2202, z </w:t>
      </w:r>
      <w:proofErr w:type="spellStart"/>
      <w:r w:rsidR="005C7EE6">
        <w:t>późn</w:t>
      </w:r>
      <w:proofErr w:type="spellEnd"/>
      <w:r w:rsidR="005C7EE6">
        <w:t>. zm.)”</w:t>
      </w:r>
      <w:r w:rsidRPr="004778E3">
        <w:t>Dział należy wypełnić wg dziedzin nauki</w:t>
      </w:r>
      <w:r w:rsidR="00822CEB" w:rsidRPr="004778E3">
        <w:t xml:space="preserve"> i sztuki</w:t>
      </w:r>
      <w:r w:rsidRPr="004778E3">
        <w:t>.</w:t>
      </w:r>
    </w:p>
    <w:p w14:paraId="4DBDE3D0" w14:textId="77777777" w:rsidR="00D70BC5" w:rsidRPr="004778E3" w:rsidRDefault="00D70BC5" w:rsidP="00ED6324">
      <w:pPr>
        <w:pStyle w:val="Akapitzlist"/>
        <w:numPr>
          <w:ilvl w:val="0"/>
          <w:numId w:val="23"/>
        </w:numPr>
      </w:pPr>
      <w:r w:rsidRPr="004778E3">
        <w:rPr>
          <w:b/>
        </w:rPr>
        <w:t xml:space="preserve">W </w:t>
      </w:r>
      <w:r w:rsidR="00ED6324" w:rsidRPr="004778E3">
        <w:rPr>
          <w:b/>
        </w:rPr>
        <w:t>sekcji</w:t>
      </w:r>
      <w:r w:rsidRPr="004778E3">
        <w:rPr>
          <w:b/>
        </w:rPr>
        <w:t xml:space="preserve"> dla cudzoziemców</w:t>
      </w:r>
      <w:r w:rsidRPr="004778E3">
        <w:t xml:space="preserve"> należy wykazać osoby niebędące obywatelami polskimi.</w:t>
      </w:r>
    </w:p>
    <w:p w14:paraId="33142F80" w14:textId="727A9C63" w:rsidR="00C21CDA" w:rsidRDefault="00C21CDA" w:rsidP="00D70BC5">
      <w:pPr>
        <w:pStyle w:val="Nagwek2"/>
      </w:pPr>
      <w:r>
        <w:t>Dział 7</w:t>
      </w:r>
    </w:p>
    <w:p w14:paraId="67D16683" w14:textId="77777777" w:rsidR="00C21CDA" w:rsidRDefault="00C21CDA" w:rsidP="00C21CDA">
      <w:pPr>
        <w:pStyle w:val="Akapitzlist"/>
        <w:numPr>
          <w:ilvl w:val="0"/>
          <w:numId w:val="34"/>
        </w:numPr>
      </w:pPr>
      <w:r>
        <w:t xml:space="preserve">Wypełniają jednostki, które prowadzą szkołę doktorską oraz podmioty doktoryzujące, tj. jednostki, które nadały stopień doktora osobom, które ukończyły szkołę doktorską. </w:t>
      </w:r>
    </w:p>
    <w:p w14:paraId="1A047E5A" w14:textId="0974FB17" w:rsidR="00C21CDA" w:rsidRDefault="00C21CDA" w:rsidP="00C21CDA">
      <w:pPr>
        <w:pStyle w:val="Akapitzlist"/>
        <w:numPr>
          <w:ilvl w:val="0"/>
          <w:numId w:val="34"/>
        </w:numPr>
      </w:pPr>
      <w:r>
        <w:t>Należy również ująć doktorantów kształcących się przynajmniej rok akademicki w ramach programu Erasmus.</w:t>
      </w:r>
    </w:p>
    <w:p w14:paraId="13B9F55F" w14:textId="6DF65B6C" w:rsidR="005C7EE6" w:rsidRDefault="005C7EE6" w:rsidP="005C7EE6">
      <w:pPr>
        <w:pStyle w:val="Akapitzlist"/>
        <w:numPr>
          <w:ilvl w:val="0"/>
          <w:numId w:val="34"/>
        </w:numPr>
      </w:pPr>
      <w:r>
        <w:t>W rubr. 2-3 jedna osoba kształcąca się w kilku dyscyplinach naukowych lub artystycznych powinna być wykazana w każdej z nich według programu kształcenia.</w:t>
      </w:r>
    </w:p>
    <w:p w14:paraId="396F7668" w14:textId="77777777" w:rsidR="00C21CDA" w:rsidRDefault="00C21CDA" w:rsidP="00C21CDA">
      <w:pPr>
        <w:pStyle w:val="Akapitzlist"/>
        <w:numPr>
          <w:ilvl w:val="0"/>
          <w:numId w:val="34"/>
        </w:numPr>
      </w:pPr>
      <w:r>
        <w:t xml:space="preserve">Jeśli program kształcenia nie został zatwierdzony należy taką osobę zakwalifikować do dodatkowej kategorii „Dla doktorantów bez przyporządkowanej dyscypliny”. </w:t>
      </w:r>
    </w:p>
    <w:p w14:paraId="7BCC4287" w14:textId="781942D1" w:rsidR="00C21CDA" w:rsidRPr="00C21CDA" w:rsidRDefault="00C21CDA" w:rsidP="00C21CDA">
      <w:pPr>
        <w:pStyle w:val="Akapitzlist"/>
        <w:numPr>
          <w:ilvl w:val="0"/>
          <w:numId w:val="34"/>
        </w:numPr>
      </w:pPr>
      <w:r>
        <w:t>W rubr.4-5 dopuszczalny jest zapis na poziomie dziedzin nauki tylko dla przypadków, gdy rozprawa doktorska obejmuje zagadnienia naukowe z więcej niż jednej dyscypliny naukowej zawierającej się w danej dziedzinie nauki i nie jest możliwe wskazanie dyscypliny naukowej, stopień doktora należy wykazać na poziomie jednej dziedziny nauki</w:t>
      </w:r>
      <w:r w:rsidR="00662792">
        <w:t>.</w:t>
      </w:r>
    </w:p>
    <w:p w14:paraId="08D98AB7" w14:textId="33825A2B" w:rsidR="00D92462" w:rsidRPr="004778E3" w:rsidRDefault="00C60E9B" w:rsidP="00D70BC5">
      <w:pPr>
        <w:pStyle w:val="Nagwek2"/>
      </w:pPr>
      <w:r w:rsidRPr="004778E3">
        <w:t xml:space="preserve">Dział </w:t>
      </w:r>
      <w:r w:rsidR="004B2B24">
        <w:t>8</w:t>
      </w:r>
    </w:p>
    <w:p w14:paraId="1CAB5464" w14:textId="77777777" w:rsidR="00D70BC5" w:rsidRPr="004778E3" w:rsidRDefault="00D70BC5" w:rsidP="00ED6324">
      <w:pPr>
        <w:pStyle w:val="Akapitzlist"/>
        <w:numPr>
          <w:ilvl w:val="0"/>
          <w:numId w:val="24"/>
        </w:numPr>
      </w:pPr>
      <w:r w:rsidRPr="004778E3">
        <w:t xml:space="preserve">Wypełniają jednostki, które prowadzą szkołę doktorską oraz podmioty doktoryzujące, tj. jednostki, które nadały stopień doktora osobom, które ukończyły szkołę doktorską. </w:t>
      </w:r>
    </w:p>
    <w:p w14:paraId="73D145DC" w14:textId="19D37A97" w:rsidR="00D70BC5" w:rsidRPr="004778E3" w:rsidRDefault="00ED6324" w:rsidP="00ED6324">
      <w:pPr>
        <w:pStyle w:val="Akapitzlist"/>
        <w:numPr>
          <w:ilvl w:val="0"/>
          <w:numId w:val="24"/>
        </w:numPr>
      </w:pPr>
      <w:r w:rsidRPr="004778E3">
        <w:rPr>
          <w:b/>
          <w:u w:val="single"/>
        </w:rPr>
        <w:t>Uwaga</w:t>
      </w:r>
      <w:r w:rsidRPr="004778E3">
        <w:rPr>
          <w:u w:val="single"/>
        </w:rPr>
        <w:t>:</w:t>
      </w:r>
      <w:r w:rsidRPr="004778E3">
        <w:t xml:space="preserve"> </w:t>
      </w:r>
      <w:r w:rsidR="00D70BC5" w:rsidRPr="004778E3">
        <w:t xml:space="preserve"> </w:t>
      </w:r>
      <w:r w:rsidR="00D70BC5" w:rsidRPr="004778E3">
        <w:rPr>
          <w:b/>
        </w:rPr>
        <w:t xml:space="preserve">każda jednostka wypełnia rubryki wg kompetencji, tzn. jeżeli osoba kształciła się </w:t>
      </w:r>
      <w:r w:rsidR="00B126C8" w:rsidRPr="004778E3">
        <w:rPr>
          <w:b/>
        </w:rPr>
        <w:br/>
      </w:r>
      <w:r w:rsidR="00D70BC5" w:rsidRPr="004778E3">
        <w:rPr>
          <w:b/>
        </w:rPr>
        <w:t xml:space="preserve">w szkole doktorskiej a następnie uzyskała w tym samym podmiocie stopień doktora, to ten podmiot wypełnia cały dział. Jeżeli osoba ukończyła szkołę doktorską w jednym podmiocie </w:t>
      </w:r>
      <w:r w:rsidRPr="004778E3">
        <w:rPr>
          <w:b/>
        </w:rPr>
        <w:br/>
      </w:r>
      <w:r w:rsidR="00D70BC5" w:rsidRPr="004778E3">
        <w:rPr>
          <w:b/>
        </w:rPr>
        <w:t>a doktoryzowała się w innym, to podmiot prowadzący szkołę doktorską wypełnia rubryki 2-</w:t>
      </w:r>
      <w:r w:rsidR="00A767F7">
        <w:rPr>
          <w:b/>
        </w:rPr>
        <w:t>7</w:t>
      </w:r>
      <w:r w:rsidR="00C21CDA">
        <w:rPr>
          <w:b/>
        </w:rPr>
        <w:t>,</w:t>
      </w:r>
      <w:r w:rsidR="00A767F7" w:rsidRPr="004778E3">
        <w:rPr>
          <w:b/>
        </w:rPr>
        <w:t xml:space="preserve"> </w:t>
      </w:r>
      <w:r w:rsidRPr="004778E3">
        <w:rPr>
          <w:b/>
        </w:rPr>
        <w:br/>
      </w:r>
      <w:r w:rsidR="00D70BC5" w:rsidRPr="004778E3">
        <w:rPr>
          <w:b/>
        </w:rPr>
        <w:t xml:space="preserve">a podmiot doktoryzujący rubr. </w:t>
      </w:r>
      <w:r w:rsidR="00A767F7">
        <w:rPr>
          <w:b/>
        </w:rPr>
        <w:t>8-11</w:t>
      </w:r>
      <w:r w:rsidR="00D70BC5" w:rsidRPr="004778E3">
        <w:rPr>
          <w:b/>
        </w:rPr>
        <w:t>.</w:t>
      </w:r>
      <w:r w:rsidR="00D70BC5" w:rsidRPr="004778E3">
        <w:t xml:space="preserve"> </w:t>
      </w:r>
    </w:p>
    <w:p w14:paraId="3E71F857" w14:textId="77777777" w:rsidR="00D70BC5" w:rsidRPr="004778E3" w:rsidRDefault="00D70BC5" w:rsidP="00ED6324">
      <w:pPr>
        <w:pStyle w:val="Akapitzlist"/>
        <w:numPr>
          <w:ilvl w:val="0"/>
          <w:numId w:val="24"/>
        </w:numPr>
      </w:pPr>
      <w:r w:rsidRPr="004778E3">
        <w:t xml:space="preserve">Dział należy wypełnić na podstawie Klasyfikacji kierunków kształcenia ISCED-F. </w:t>
      </w:r>
    </w:p>
    <w:p w14:paraId="3550FF57" w14:textId="77777777" w:rsidR="00D70BC5" w:rsidRPr="004778E3" w:rsidRDefault="00D70BC5" w:rsidP="00ED6324">
      <w:pPr>
        <w:pStyle w:val="Akapitzlist"/>
        <w:numPr>
          <w:ilvl w:val="0"/>
          <w:numId w:val="24"/>
        </w:numPr>
      </w:pPr>
      <w:r w:rsidRPr="004778E3">
        <w:rPr>
          <w:b/>
        </w:rPr>
        <w:t xml:space="preserve">W </w:t>
      </w:r>
      <w:r w:rsidR="00ED6324" w:rsidRPr="004778E3">
        <w:rPr>
          <w:b/>
        </w:rPr>
        <w:t>sekcji</w:t>
      </w:r>
      <w:r w:rsidRPr="004778E3">
        <w:rPr>
          <w:b/>
        </w:rPr>
        <w:t xml:space="preserve"> dla cudzoziemców</w:t>
      </w:r>
      <w:r w:rsidRPr="004778E3">
        <w:t xml:space="preserve"> należy wykazać osoby niebędące obywatelami polskimi.</w:t>
      </w:r>
    </w:p>
    <w:p w14:paraId="7F608F5B" w14:textId="2AC9F4B2" w:rsidR="00C60E9B" w:rsidRPr="004778E3" w:rsidRDefault="00C60E9B" w:rsidP="00D70BC5">
      <w:pPr>
        <w:pStyle w:val="Nagwek2"/>
      </w:pPr>
      <w:r w:rsidRPr="004778E3">
        <w:t xml:space="preserve">Dział </w:t>
      </w:r>
      <w:r w:rsidR="004B2B24">
        <w:t>9</w:t>
      </w:r>
    </w:p>
    <w:p w14:paraId="3668A5B2" w14:textId="77777777" w:rsidR="00D70BC5" w:rsidRPr="004778E3" w:rsidRDefault="00D70BC5" w:rsidP="00024411">
      <w:pPr>
        <w:pStyle w:val="Akapitzlist"/>
        <w:numPr>
          <w:ilvl w:val="0"/>
          <w:numId w:val="25"/>
        </w:numPr>
      </w:pPr>
      <w:r w:rsidRPr="004778E3">
        <w:t>Wypełniają jednostki, które prowadzą studia doktoranckie lub szkołę doktorską.</w:t>
      </w:r>
    </w:p>
    <w:p w14:paraId="67A97F72" w14:textId="77777777" w:rsidR="00D70BC5" w:rsidRPr="004778E3" w:rsidRDefault="00D70BC5" w:rsidP="00024411">
      <w:pPr>
        <w:pStyle w:val="Akapitzlist"/>
        <w:numPr>
          <w:ilvl w:val="0"/>
          <w:numId w:val="25"/>
        </w:numPr>
      </w:pPr>
      <w:r w:rsidRPr="004778E3">
        <w:t xml:space="preserve">Doktorantów niepełnosprawnych należy wykazać według głównego rodzaju niepełnosprawności. Wypełnia się na podstawie orzeczeń </w:t>
      </w:r>
      <w:r w:rsidR="00024411" w:rsidRPr="004778E3">
        <w:t xml:space="preserve">o </w:t>
      </w:r>
      <w:r w:rsidRPr="004778E3">
        <w:t xml:space="preserve">stopniu niepełnosprawności wydanych na podstawie ustawy z dnia 27 sierpnia 1997 r. o rehabilitacji zawodowej i społecznej oraz zatrudnianiu osób niepełnosprawnych (Dz. U. 1997 Nr 123 poz. 776, z </w:t>
      </w:r>
      <w:proofErr w:type="spellStart"/>
      <w:r w:rsidRPr="004778E3">
        <w:t>późn</w:t>
      </w:r>
      <w:proofErr w:type="spellEnd"/>
      <w:r w:rsidRPr="004778E3">
        <w:t xml:space="preserve">. zm.) lub innych orzeczeń traktowanych na równi z tymi orzeczeniami stwierdzającymi niezdolność do pracy. </w:t>
      </w:r>
    </w:p>
    <w:p w14:paraId="6C8B13D3" w14:textId="77777777" w:rsidR="00D70BC5" w:rsidRPr="004778E3" w:rsidRDefault="00D70BC5" w:rsidP="00024411">
      <w:pPr>
        <w:pStyle w:val="Akapitzlist"/>
        <w:numPr>
          <w:ilvl w:val="0"/>
          <w:numId w:val="25"/>
        </w:numPr>
      </w:pPr>
      <w:r w:rsidRPr="004778E3">
        <w:rPr>
          <w:b/>
        </w:rPr>
        <w:t xml:space="preserve">W </w:t>
      </w:r>
      <w:r w:rsidR="00024411" w:rsidRPr="004778E3">
        <w:rPr>
          <w:b/>
        </w:rPr>
        <w:t>sekcji</w:t>
      </w:r>
      <w:r w:rsidRPr="004778E3">
        <w:rPr>
          <w:b/>
        </w:rPr>
        <w:t xml:space="preserve"> dla cudzoziemców</w:t>
      </w:r>
      <w:r w:rsidRPr="004778E3">
        <w:t xml:space="preserve"> należy wykazać osoby niebędące obywatelami polskimi.</w:t>
      </w:r>
    </w:p>
    <w:p w14:paraId="2E847692" w14:textId="20BD18AC" w:rsidR="00C60E9B" w:rsidRPr="004778E3" w:rsidRDefault="00C60E9B" w:rsidP="004043E8">
      <w:pPr>
        <w:pStyle w:val="Nagwek2"/>
      </w:pPr>
      <w:r w:rsidRPr="004778E3">
        <w:t xml:space="preserve">Dział </w:t>
      </w:r>
      <w:r w:rsidR="004B2B24">
        <w:t>10</w:t>
      </w:r>
    </w:p>
    <w:p w14:paraId="2AC58EB1" w14:textId="77777777" w:rsidR="00D70BC5" w:rsidRPr="004778E3" w:rsidRDefault="00D70BC5" w:rsidP="00245EEA">
      <w:pPr>
        <w:pStyle w:val="Akapitzlist"/>
        <w:numPr>
          <w:ilvl w:val="0"/>
          <w:numId w:val="26"/>
        </w:numPr>
        <w:rPr>
          <w:b/>
        </w:rPr>
      </w:pPr>
      <w:r w:rsidRPr="004778E3">
        <w:rPr>
          <w:b/>
        </w:rPr>
        <w:t>Wypełniają wyłącznie jednostki</w:t>
      </w:r>
      <w:r w:rsidR="00245EEA" w:rsidRPr="004778E3">
        <w:rPr>
          <w:b/>
        </w:rPr>
        <w:t xml:space="preserve"> </w:t>
      </w:r>
      <w:r w:rsidR="00B5058A" w:rsidRPr="004778E3">
        <w:rPr>
          <w:b/>
        </w:rPr>
        <w:t xml:space="preserve">w sekcjach </w:t>
      </w:r>
      <w:r w:rsidR="00245EEA" w:rsidRPr="004778E3">
        <w:rPr>
          <w:b/>
        </w:rPr>
        <w:t>2 i 3</w:t>
      </w:r>
    </w:p>
    <w:p w14:paraId="54CAD3AF" w14:textId="77777777" w:rsidR="00C21CDA" w:rsidRDefault="00D70BC5" w:rsidP="00245EEA">
      <w:pPr>
        <w:pStyle w:val="Akapitzlist"/>
        <w:numPr>
          <w:ilvl w:val="0"/>
          <w:numId w:val="26"/>
        </w:numPr>
      </w:pPr>
      <w:r w:rsidRPr="004778E3">
        <w:t xml:space="preserve">Wypełniają jednostki, które prowadzą studia doktoranckie, szkoły doktorskie oraz podmioty doktoryzujące osoby, które ukończyły szkołę doktorską. Kompetencje, podobnie jak w dziale 6. </w:t>
      </w:r>
    </w:p>
    <w:p w14:paraId="77FFD2FF" w14:textId="7B786515" w:rsidR="00D70BC5" w:rsidRPr="004778E3" w:rsidRDefault="005350E7" w:rsidP="00245EEA">
      <w:pPr>
        <w:pStyle w:val="Akapitzlist"/>
        <w:numPr>
          <w:ilvl w:val="0"/>
          <w:numId w:val="26"/>
        </w:numPr>
      </w:pPr>
      <w:r w:rsidRPr="00C21CDA">
        <w:rPr>
          <w:b/>
          <w:bCs/>
        </w:rPr>
        <w:t>W sekcji dla cudzoziemców</w:t>
      </w:r>
      <w:r w:rsidRPr="00C21CDA">
        <w:t xml:space="preserve"> należy wykazać osoby niebędące obywatelami polskimi</w:t>
      </w:r>
    </w:p>
    <w:p w14:paraId="18FE5C68" w14:textId="47DBB078" w:rsidR="00A767F7" w:rsidRPr="004778E3" w:rsidRDefault="00A767F7" w:rsidP="00A767F7">
      <w:r w:rsidRPr="00A767F7">
        <w:rPr>
          <w:b/>
        </w:rPr>
        <w:t>Uwaga</w:t>
      </w:r>
      <w:r w:rsidRPr="004778E3">
        <w:t xml:space="preserve">:  Każdy </w:t>
      </w:r>
      <w:r w:rsidR="00C21CDA">
        <w:t xml:space="preserve">cudzoziemiec </w:t>
      </w:r>
      <w:r w:rsidRPr="004778E3">
        <w:t>doktorant powinien być wykazany tylko raz – niezależnie na ilu studiach doktoranckich lub w ilu szkołach doktorskich się kształcił.</w:t>
      </w:r>
    </w:p>
    <w:p w14:paraId="5861647E" w14:textId="11684751" w:rsidR="00D70BC5" w:rsidRPr="004778E3" w:rsidRDefault="00D70BC5" w:rsidP="00D70BC5">
      <w:pPr>
        <w:pStyle w:val="Nagwek2"/>
      </w:pPr>
      <w:r w:rsidRPr="004778E3">
        <w:t xml:space="preserve">Dział </w:t>
      </w:r>
      <w:r w:rsidR="004B2B24" w:rsidRPr="004778E3">
        <w:t>1</w:t>
      </w:r>
      <w:r w:rsidR="004B2B24">
        <w:t>1</w:t>
      </w:r>
    </w:p>
    <w:p w14:paraId="2B591B14" w14:textId="77777777" w:rsidR="009F1794" w:rsidRPr="004778E3" w:rsidRDefault="009F1794" w:rsidP="00B5058A">
      <w:pPr>
        <w:pStyle w:val="Akapitzlist"/>
        <w:numPr>
          <w:ilvl w:val="0"/>
          <w:numId w:val="27"/>
        </w:numPr>
      </w:pPr>
      <w:r w:rsidRPr="004778E3">
        <w:t>Wypełniają jednostki, które prowadzą studia doktoranckie, szkoły doktorskie oraz podmioty doktoryzujące osoby, które ukończyły szkołę doktorską. Kompetencje, podobnie jak w dziale 6.</w:t>
      </w:r>
    </w:p>
    <w:p w14:paraId="147097EC" w14:textId="77777777" w:rsidR="009F1794" w:rsidRPr="004778E3" w:rsidRDefault="009F1794" w:rsidP="00B5058A">
      <w:pPr>
        <w:pStyle w:val="Akapitzlist"/>
        <w:numPr>
          <w:ilvl w:val="0"/>
          <w:numId w:val="27"/>
        </w:numPr>
      </w:pPr>
      <w:r w:rsidRPr="004778E3">
        <w:rPr>
          <w:b/>
        </w:rPr>
        <w:lastRenderedPageBreak/>
        <w:t xml:space="preserve">W </w:t>
      </w:r>
      <w:r w:rsidR="00B5058A" w:rsidRPr="004778E3">
        <w:rPr>
          <w:b/>
        </w:rPr>
        <w:t>sekcji</w:t>
      </w:r>
      <w:r w:rsidRPr="004778E3">
        <w:rPr>
          <w:b/>
        </w:rPr>
        <w:t xml:space="preserve"> dla cudzoziemców</w:t>
      </w:r>
      <w:r w:rsidRPr="004778E3">
        <w:t xml:space="preserve"> należy wykazać osoby niebędące obywatelami polskimi.</w:t>
      </w:r>
    </w:p>
    <w:p w14:paraId="3E81016A" w14:textId="77777777" w:rsidR="009F1794" w:rsidRPr="004778E3" w:rsidRDefault="00B5058A" w:rsidP="00B5058A">
      <w:r w:rsidRPr="004778E3">
        <w:rPr>
          <w:b/>
        </w:rPr>
        <w:t>Uwaga</w:t>
      </w:r>
      <w:r w:rsidRPr="004778E3">
        <w:t xml:space="preserve">: </w:t>
      </w:r>
      <w:r w:rsidR="009F1794" w:rsidRPr="004778E3">
        <w:t xml:space="preserve"> Każdy doktorant powinien być wykazany tylko raz – niezależnie na ilu studiach doktoranckich lub w ilu szkołach doktorskich się kształcił.</w:t>
      </w:r>
    </w:p>
    <w:p w14:paraId="762020B0" w14:textId="6884B72E" w:rsidR="00D70BC5" w:rsidRPr="004778E3" w:rsidRDefault="00D70BC5" w:rsidP="00D70BC5">
      <w:pPr>
        <w:pStyle w:val="Nagwek2"/>
      </w:pPr>
      <w:r w:rsidRPr="004778E3">
        <w:t xml:space="preserve">Dział </w:t>
      </w:r>
      <w:r w:rsidR="004B2B24" w:rsidRPr="004778E3">
        <w:t>1</w:t>
      </w:r>
      <w:r w:rsidR="004B2B24">
        <w:t>2</w:t>
      </w:r>
    </w:p>
    <w:p w14:paraId="4992F054" w14:textId="539C1863" w:rsidR="009F1794" w:rsidRPr="004778E3" w:rsidRDefault="009F1794" w:rsidP="00FC2591">
      <w:pPr>
        <w:pStyle w:val="Akapitzlist"/>
        <w:numPr>
          <w:ilvl w:val="0"/>
          <w:numId w:val="28"/>
        </w:numPr>
      </w:pPr>
      <w:r w:rsidRPr="004778E3">
        <w:t xml:space="preserve">Wypełniają jednostki, które prowadzą studia doktoranckie, szkoły doktorskie. </w:t>
      </w:r>
    </w:p>
    <w:p w14:paraId="73592CCE" w14:textId="77777777" w:rsidR="00C21CDA" w:rsidRDefault="009F1794" w:rsidP="00FC2591">
      <w:pPr>
        <w:pStyle w:val="Akapitzlist"/>
        <w:numPr>
          <w:ilvl w:val="0"/>
          <w:numId w:val="28"/>
        </w:numPr>
      </w:pPr>
      <w:r w:rsidRPr="004778E3">
        <w:t xml:space="preserve">Wiersze 1-3 dotyczą stypendystów studiów doktoranckich. W wierszu 3 należy wykazać doktorantów pobierających tylko stypendium z dotacji projakościowej zgodnie z art. 200a ustawy z dnia 27 lipca 2005 r. – Prawo o szkolnictwie wyższym (Dz. U. z 2017 r. poz. 2183, z </w:t>
      </w:r>
      <w:proofErr w:type="spellStart"/>
      <w:r w:rsidRPr="004778E3">
        <w:t>późn</w:t>
      </w:r>
      <w:proofErr w:type="spellEnd"/>
      <w:r w:rsidRPr="004778E3">
        <w:t>. zm.), które staje się stypendium doktoranckim.</w:t>
      </w:r>
      <w:r w:rsidR="00484496" w:rsidRPr="004778E3">
        <w:t xml:space="preserve"> </w:t>
      </w:r>
      <w:r w:rsidRPr="004778E3">
        <w:t xml:space="preserve"> </w:t>
      </w:r>
    </w:p>
    <w:p w14:paraId="251AB20A" w14:textId="251D6284" w:rsidR="009F1794" w:rsidRPr="004778E3" w:rsidRDefault="009F1794" w:rsidP="00FC2591">
      <w:pPr>
        <w:pStyle w:val="Akapitzlist"/>
        <w:numPr>
          <w:ilvl w:val="0"/>
          <w:numId w:val="28"/>
        </w:numPr>
      </w:pPr>
      <w:r w:rsidRPr="004778E3">
        <w:t xml:space="preserve">Wiersz </w:t>
      </w:r>
      <w:r w:rsidR="00484496" w:rsidRPr="004778E3">
        <w:t>4</w:t>
      </w:r>
      <w:r w:rsidRPr="004778E3">
        <w:t xml:space="preserve"> wypełniają uczelnie prowadzące szkołę doktorską. </w:t>
      </w:r>
    </w:p>
    <w:p w14:paraId="0C2CF637" w14:textId="77777777" w:rsidR="009F1794" w:rsidRPr="004778E3" w:rsidRDefault="009F1794" w:rsidP="00FC2591">
      <w:pPr>
        <w:pStyle w:val="Akapitzlist"/>
        <w:numPr>
          <w:ilvl w:val="0"/>
          <w:numId w:val="28"/>
        </w:numPr>
      </w:pPr>
      <w:r w:rsidRPr="004778E3">
        <w:rPr>
          <w:b/>
        </w:rPr>
        <w:t xml:space="preserve">W </w:t>
      </w:r>
      <w:r w:rsidR="00FC2591" w:rsidRPr="004778E3">
        <w:rPr>
          <w:b/>
        </w:rPr>
        <w:t>sekcji</w:t>
      </w:r>
      <w:r w:rsidRPr="004778E3">
        <w:rPr>
          <w:b/>
        </w:rPr>
        <w:t xml:space="preserve"> dla cudzoziemców</w:t>
      </w:r>
      <w:r w:rsidRPr="004778E3">
        <w:t xml:space="preserve"> należy wykazać osoby niebędące obywatelami polskimi.</w:t>
      </w:r>
    </w:p>
    <w:p w14:paraId="33EE4185" w14:textId="467447DC" w:rsidR="00D70BC5" w:rsidRPr="004778E3" w:rsidRDefault="00D70BC5" w:rsidP="00D70BC5">
      <w:pPr>
        <w:pStyle w:val="Nagwek2"/>
      </w:pPr>
      <w:r w:rsidRPr="004778E3">
        <w:t xml:space="preserve">Dział </w:t>
      </w:r>
      <w:r w:rsidR="004B2B24" w:rsidRPr="004778E3">
        <w:t>1</w:t>
      </w:r>
      <w:r w:rsidR="004B2B24">
        <w:t>3</w:t>
      </w:r>
    </w:p>
    <w:p w14:paraId="5654653B" w14:textId="75F5AF31" w:rsidR="00D70BC5" w:rsidRPr="004778E3" w:rsidRDefault="00D57471" w:rsidP="00D57471">
      <w:pPr>
        <w:pStyle w:val="Akapitzlist"/>
        <w:numPr>
          <w:ilvl w:val="0"/>
          <w:numId w:val="29"/>
        </w:numPr>
      </w:pPr>
      <w:r w:rsidRPr="004778E3">
        <w:t>Dział dotyczy</w:t>
      </w:r>
      <w:r w:rsidR="00D70BC5" w:rsidRPr="004778E3">
        <w:t xml:space="preserve"> wyłącznie osób zatrudnionych na podstawie umowy o pracę</w:t>
      </w:r>
      <w:r w:rsidR="00B10CAB">
        <w:t>, stosunku służbowego</w:t>
      </w:r>
      <w:r w:rsidR="00225CAF">
        <w:t xml:space="preserve"> i mianowania</w:t>
      </w:r>
      <w:r w:rsidR="00D70BC5" w:rsidRPr="004778E3">
        <w:t xml:space="preserve">. </w:t>
      </w:r>
    </w:p>
    <w:p w14:paraId="7EBC6112" w14:textId="77777777" w:rsidR="00D70BC5" w:rsidRPr="004778E3" w:rsidRDefault="00D57471" w:rsidP="00D57471">
      <w:pPr>
        <w:pStyle w:val="Akapitzlist"/>
        <w:numPr>
          <w:ilvl w:val="0"/>
          <w:numId w:val="29"/>
        </w:numPr>
      </w:pPr>
      <w:r w:rsidRPr="004778E3">
        <w:t>Dział ten nie dotyczy</w:t>
      </w:r>
      <w:r w:rsidR="00D70BC5" w:rsidRPr="004778E3">
        <w:t xml:space="preserve"> osób pracujących na podstawie umów cywilnoprawnych (umów zlecenia, umów o dzieło).</w:t>
      </w:r>
    </w:p>
    <w:p w14:paraId="1BE4EB2C" w14:textId="605D938A" w:rsidR="009F1794" w:rsidRPr="004778E3" w:rsidRDefault="009F1794" w:rsidP="00D57471">
      <w:pPr>
        <w:pStyle w:val="Akapitzlist"/>
        <w:numPr>
          <w:ilvl w:val="0"/>
          <w:numId w:val="29"/>
        </w:numPr>
      </w:pPr>
      <w:r w:rsidRPr="004778E3">
        <w:t xml:space="preserve">Należy wykazać nauczycieli akademickich łącznie z osobami przebywającymi na urlopach: wypoczynkowych, bezpłatnych, wychowawczych czy zwolnieniach lekarskich. </w:t>
      </w:r>
      <w:r w:rsidR="00C21CDA">
        <w:t>Wiersze 12, 23 oraz 34 dotyczą</w:t>
      </w:r>
      <w:r w:rsidRPr="004778E3">
        <w:t xml:space="preserve"> innych stanowisk określonych przez statut uczelni (art. 116 ust. 4 ustawy z dnia 20 lipca 2018 r. – Prawo o szkolnictwie wyższym i nauce (Dz. U. </w:t>
      </w:r>
      <w:r w:rsidR="00225CAF">
        <w:t xml:space="preserve">z 2023 r. </w:t>
      </w:r>
      <w:r w:rsidRPr="004778E3">
        <w:t xml:space="preserve">poz. </w:t>
      </w:r>
      <w:r w:rsidR="00225CAF">
        <w:t>742</w:t>
      </w:r>
      <w:r w:rsidRPr="004778E3">
        <w:t xml:space="preserve">)) lub stanowisk pracowników dydaktycznych wg wcześniej obowiązujących przepisów. Termin podstawowe miejsce pracy zgodne z art. 120 ustawy z dnia 20 lipca 2018 r. – Prawo o szkolnictwie wyższym i nauce Niepełnozatrudnionych należy podać w rubr. 5-6 w przeliczeniu na pełne etaty, z jednym miejscem po przecinku, w rubr. 7-8 w osobach bez względu na wielkość etatu. </w:t>
      </w:r>
    </w:p>
    <w:p w14:paraId="381EC5BC" w14:textId="77777777" w:rsidR="009F1794" w:rsidRDefault="009F1794" w:rsidP="00D57471">
      <w:pPr>
        <w:pStyle w:val="Akapitzlist"/>
        <w:numPr>
          <w:ilvl w:val="0"/>
          <w:numId w:val="29"/>
        </w:numPr>
      </w:pPr>
      <w:r w:rsidRPr="004778E3">
        <w:rPr>
          <w:b/>
        </w:rPr>
        <w:t xml:space="preserve">W </w:t>
      </w:r>
      <w:r w:rsidR="00D57471" w:rsidRPr="004778E3">
        <w:rPr>
          <w:b/>
        </w:rPr>
        <w:t>sekcji</w:t>
      </w:r>
      <w:r w:rsidRPr="004778E3">
        <w:rPr>
          <w:b/>
        </w:rPr>
        <w:t xml:space="preserve"> dla cudzoziemców</w:t>
      </w:r>
      <w:r w:rsidRPr="004778E3">
        <w:t xml:space="preserve"> należy wykazać osoby niebędące obywatelami polskimi.</w:t>
      </w:r>
    </w:p>
    <w:p w14:paraId="4FA82725" w14:textId="00F1FE69" w:rsidR="00B10CAB" w:rsidRPr="004778E3" w:rsidRDefault="00B10CAB" w:rsidP="00B10CAB">
      <w:pPr>
        <w:pStyle w:val="Nagwek2"/>
      </w:pPr>
      <w:r w:rsidRPr="004778E3">
        <w:t xml:space="preserve">Dział </w:t>
      </w:r>
      <w:r w:rsidR="004B2B24" w:rsidRPr="004778E3">
        <w:t>1</w:t>
      </w:r>
      <w:r w:rsidR="004B2B24">
        <w:t>4</w:t>
      </w:r>
    </w:p>
    <w:p w14:paraId="73F21332" w14:textId="5EB9BD7C" w:rsidR="00B10CAB" w:rsidRPr="004778E3" w:rsidRDefault="00B10CAB" w:rsidP="00B10CAB">
      <w:pPr>
        <w:pStyle w:val="Akapitzlist"/>
        <w:numPr>
          <w:ilvl w:val="0"/>
          <w:numId w:val="30"/>
        </w:numPr>
      </w:pPr>
      <w:r w:rsidRPr="004778E3">
        <w:t>Dział dotyczy wyłącznie osób zatrudnionych na podstawie umowy o pracę</w:t>
      </w:r>
      <w:r>
        <w:t>, stosunku służbowego</w:t>
      </w:r>
      <w:r w:rsidR="00225CAF">
        <w:t xml:space="preserve"> i mianowania</w:t>
      </w:r>
      <w:r w:rsidRPr="004778E3">
        <w:t xml:space="preserve">. </w:t>
      </w:r>
    </w:p>
    <w:p w14:paraId="28D769A4" w14:textId="77777777" w:rsidR="00B10CAB" w:rsidRPr="004778E3" w:rsidRDefault="00B10CAB" w:rsidP="00B10CAB">
      <w:pPr>
        <w:pStyle w:val="Akapitzlist"/>
        <w:numPr>
          <w:ilvl w:val="0"/>
          <w:numId w:val="30"/>
        </w:numPr>
      </w:pPr>
      <w:r w:rsidRPr="004778E3">
        <w:t>Dział ten nie dotyczy osób pracujących na podstawie umów cywilnoprawnych (umów zlecenia, umów o dzieło).</w:t>
      </w:r>
    </w:p>
    <w:p w14:paraId="6AECD66A" w14:textId="21DF067F" w:rsidR="00B10CAB" w:rsidRPr="004778E3" w:rsidRDefault="00B10CAB" w:rsidP="00B10CAB">
      <w:pPr>
        <w:pStyle w:val="Akapitzlist"/>
        <w:numPr>
          <w:ilvl w:val="0"/>
          <w:numId w:val="30"/>
        </w:numPr>
      </w:pPr>
      <w:r w:rsidRPr="004778E3">
        <w:t xml:space="preserve">Należy wykazać nauczycieli akademickich </w:t>
      </w:r>
      <w:r>
        <w:t>w osobach jeden raz, bez względu na formę zatrudnienia, tj. czy pełnozatrudnieni czy niepełnozatrudnieni. Według stanu w dniu 31 XII.</w:t>
      </w:r>
    </w:p>
    <w:p w14:paraId="0F949378" w14:textId="283D03B3" w:rsidR="00D70BC5" w:rsidRPr="004778E3" w:rsidRDefault="00D70BC5" w:rsidP="00D70BC5">
      <w:pPr>
        <w:pStyle w:val="Nagwek2"/>
      </w:pPr>
      <w:r w:rsidRPr="004778E3">
        <w:t xml:space="preserve">Dział </w:t>
      </w:r>
      <w:r w:rsidR="004B2B24" w:rsidRPr="004778E3">
        <w:t>1</w:t>
      </w:r>
      <w:r w:rsidR="004B2B24">
        <w:t>5</w:t>
      </w:r>
    </w:p>
    <w:p w14:paraId="51EA11B9" w14:textId="77777777" w:rsidR="008A3C28" w:rsidRPr="004778E3" w:rsidRDefault="008A3C28" w:rsidP="00D57471">
      <w:pPr>
        <w:pStyle w:val="Akapitzlist"/>
        <w:numPr>
          <w:ilvl w:val="0"/>
          <w:numId w:val="30"/>
        </w:numPr>
        <w:rPr>
          <w:b/>
        </w:rPr>
      </w:pPr>
      <w:r w:rsidRPr="004778E3">
        <w:rPr>
          <w:b/>
        </w:rPr>
        <w:t>Wyłącznie w sekcji 2 dla cudzoziemców</w:t>
      </w:r>
    </w:p>
    <w:p w14:paraId="1BB6C9B7" w14:textId="47C3B136" w:rsidR="00D70BC5" w:rsidRPr="004778E3" w:rsidRDefault="00D57471" w:rsidP="00D57471">
      <w:pPr>
        <w:pStyle w:val="Akapitzlist"/>
        <w:numPr>
          <w:ilvl w:val="0"/>
          <w:numId w:val="30"/>
        </w:numPr>
      </w:pPr>
      <w:r w:rsidRPr="004778E3">
        <w:t>Dział dotyczy</w:t>
      </w:r>
      <w:r w:rsidR="00D70BC5" w:rsidRPr="004778E3">
        <w:t xml:space="preserve"> wyłącznie osób zatrudnionych na podstawie umowy o pracę</w:t>
      </w:r>
      <w:r w:rsidR="00B10CAB">
        <w:t>, stosunku służbowego</w:t>
      </w:r>
      <w:r w:rsidR="00225CAF">
        <w:t xml:space="preserve"> i mianowania</w:t>
      </w:r>
      <w:r w:rsidR="00D70BC5" w:rsidRPr="004778E3">
        <w:t xml:space="preserve">. </w:t>
      </w:r>
    </w:p>
    <w:p w14:paraId="4E652D59" w14:textId="77777777" w:rsidR="00D70BC5" w:rsidRPr="004778E3" w:rsidRDefault="00D57471" w:rsidP="00D57471">
      <w:pPr>
        <w:pStyle w:val="Akapitzlist"/>
        <w:numPr>
          <w:ilvl w:val="0"/>
          <w:numId w:val="30"/>
        </w:numPr>
      </w:pPr>
      <w:r w:rsidRPr="004778E3">
        <w:t>Dział ten</w:t>
      </w:r>
      <w:r w:rsidR="00D70BC5" w:rsidRPr="004778E3">
        <w:t xml:space="preserve"> nie dotycz</w:t>
      </w:r>
      <w:r w:rsidRPr="004778E3">
        <w:t>y</w:t>
      </w:r>
      <w:r w:rsidR="00D70BC5" w:rsidRPr="004778E3">
        <w:t xml:space="preserve"> osób pracujących na podstawie umów cywilnoprawnych (umów zlecenia, umów o dzieło).</w:t>
      </w:r>
    </w:p>
    <w:p w14:paraId="1A898E32" w14:textId="39722D86" w:rsidR="009F1794" w:rsidRDefault="009F1794" w:rsidP="00D57471">
      <w:pPr>
        <w:pStyle w:val="Akapitzlist"/>
        <w:numPr>
          <w:ilvl w:val="0"/>
          <w:numId w:val="30"/>
        </w:numPr>
      </w:pPr>
      <w:r w:rsidRPr="004778E3">
        <w:t>Należy wykazać nauczycieli akademickich niebędących obywatelami polskimi łącznie z osobami przebywającymi na urlopach: wypoczynkowych, bezpłatnych, wychowawczych czy zwolnieniach lekarskich. Termin podstawowe miejsce pracy zgodne z art. 120 ustawy z dnia 20 lipca 2018 r. – Prawo o szkolnictwie wyższym i nauce</w:t>
      </w:r>
      <w:r w:rsidR="00225CAF">
        <w:t>.</w:t>
      </w:r>
      <w:r w:rsidRPr="004778E3">
        <w:t xml:space="preserve"> </w:t>
      </w:r>
    </w:p>
    <w:p w14:paraId="2A57B9A0" w14:textId="027B3826" w:rsidR="005F2C31" w:rsidRPr="004778E3" w:rsidRDefault="005F2C31" w:rsidP="00D57471">
      <w:pPr>
        <w:pStyle w:val="Akapitzlist"/>
        <w:numPr>
          <w:ilvl w:val="0"/>
          <w:numId w:val="30"/>
        </w:numPr>
      </w:pPr>
      <w:r>
        <w:t>Należy wykazać wszystkich nauczycieli akademickich tj. pełno- i niepełnozatrudnionych w osobach wykazywanych jeden raz.</w:t>
      </w:r>
    </w:p>
    <w:p w14:paraId="2A20C5FE" w14:textId="50C57C72" w:rsidR="00D70BC5" w:rsidRPr="004778E3" w:rsidRDefault="00D70BC5" w:rsidP="00D70BC5">
      <w:pPr>
        <w:pStyle w:val="Nagwek2"/>
      </w:pPr>
      <w:r w:rsidRPr="004778E3">
        <w:lastRenderedPageBreak/>
        <w:t xml:space="preserve">Dział </w:t>
      </w:r>
      <w:r w:rsidR="004B2B24" w:rsidRPr="004778E3">
        <w:t>1</w:t>
      </w:r>
      <w:r w:rsidR="004B2B24">
        <w:t>6</w:t>
      </w:r>
    </w:p>
    <w:p w14:paraId="46587318" w14:textId="43440E23" w:rsidR="00D70BC5" w:rsidRPr="004778E3" w:rsidRDefault="00D57471" w:rsidP="00D57471">
      <w:pPr>
        <w:pStyle w:val="Akapitzlist"/>
        <w:numPr>
          <w:ilvl w:val="0"/>
          <w:numId w:val="31"/>
        </w:numPr>
      </w:pPr>
      <w:r w:rsidRPr="004778E3">
        <w:t>Dział dotyczy</w:t>
      </w:r>
      <w:r w:rsidR="00D70BC5" w:rsidRPr="004778E3">
        <w:t xml:space="preserve"> wyłącznie osób zatrudnionych na podstawie umowy o pracę</w:t>
      </w:r>
      <w:r w:rsidR="005F2C31">
        <w:t>, stosunek służbowy</w:t>
      </w:r>
      <w:r w:rsidR="00225CAF">
        <w:t xml:space="preserve"> i mianowanie</w:t>
      </w:r>
      <w:r w:rsidR="00D70BC5" w:rsidRPr="004778E3">
        <w:t xml:space="preserve">. </w:t>
      </w:r>
    </w:p>
    <w:p w14:paraId="4A44470B" w14:textId="77777777" w:rsidR="00D70BC5" w:rsidRPr="004778E3" w:rsidRDefault="00D57471" w:rsidP="00D57471">
      <w:pPr>
        <w:pStyle w:val="Akapitzlist"/>
        <w:numPr>
          <w:ilvl w:val="0"/>
          <w:numId w:val="31"/>
        </w:numPr>
      </w:pPr>
      <w:r w:rsidRPr="004778E3">
        <w:t>Dział ten nie dotyczy</w:t>
      </w:r>
      <w:r w:rsidR="00D70BC5" w:rsidRPr="004778E3">
        <w:t xml:space="preserve"> osób pracujących na podstawie umów cywilnoprawnych (umów zlecenia, umów o dzieło).</w:t>
      </w:r>
    </w:p>
    <w:p w14:paraId="38665D58" w14:textId="74C1CEA3" w:rsidR="009F1794" w:rsidRPr="004778E3" w:rsidRDefault="009F1794" w:rsidP="00D57471">
      <w:pPr>
        <w:pStyle w:val="Akapitzlist"/>
        <w:numPr>
          <w:ilvl w:val="0"/>
          <w:numId w:val="31"/>
        </w:numPr>
      </w:pPr>
      <w:r w:rsidRPr="004778E3">
        <w:t xml:space="preserve">Należy wykazać wszystkich nauczycieli akademickich, tj. pełno- i niepełnozatrudnionych </w:t>
      </w:r>
      <w:r w:rsidR="00D57471" w:rsidRPr="004778E3">
        <w:br/>
      </w:r>
      <w:r w:rsidRPr="004778E3">
        <w:t>w osobach</w:t>
      </w:r>
      <w:r w:rsidR="005F2C31">
        <w:t xml:space="preserve"> wykazywanych jeden raz</w:t>
      </w:r>
      <w:r w:rsidRPr="004778E3">
        <w:t xml:space="preserve">. </w:t>
      </w:r>
    </w:p>
    <w:p w14:paraId="4A17C578" w14:textId="77777777" w:rsidR="009F1794" w:rsidRPr="004778E3" w:rsidRDefault="009F1794" w:rsidP="00D57471">
      <w:pPr>
        <w:pStyle w:val="Akapitzlist"/>
        <w:numPr>
          <w:ilvl w:val="0"/>
          <w:numId w:val="31"/>
        </w:numPr>
      </w:pPr>
      <w:r w:rsidRPr="004778E3">
        <w:rPr>
          <w:b/>
        </w:rPr>
        <w:t xml:space="preserve">W </w:t>
      </w:r>
      <w:r w:rsidR="00D57471" w:rsidRPr="004778E3">
        <w:rPr>
          <w:b/>
        </w:rPr>
        <w:t>sekcji</w:t>
      </w:r>
      <w:r w:rsidRPr="004778E3">
        <w:rPr>
          <w:b/>
        </w:rPr>
        <w:t xml:space="preserve"> dla cudzoziemców</w:t>
      </w:r>
      <w:r w:rsidRPr="004778E3">
        <w:t xml:space="preserve"> należy wykazać osoby niebędące obywatelami polskimi.</w:t>
      </w:r>
    </w:p>
    <w:p w14:paraId="0CFF77E5" w14:textId="1E830C5C" w:rsidR="00D70BC5" w:rsidRPr="004778E3" w:rsidRDefault="00D70BC5" w:rsidP="00D70BC5">
      <w:pPr>
        <w:pStyle w:val="Nagwek2"/>
      </w:pPr>
      <w:r w:rsidRPr="004778E3">
        <w:t xml:space="preserve">Dział </w:t>
      </w:r>
      <w:r w:rsidR="004B2B24" w:rsidRPr="004778E3">
        <w:t>1</w:t>
      </w:r>
      <w:r w:rsidR="004B2B24">
        <w:t>7</w:t>
      </w:r>
    </w:p>
    <w:p w14:paraId="3FA743DD" w14:textId="247DDEF8" w:rsidR="00D70BC5" w:rsidRPr="004778E3" w:rsidRDefault="00D57471" w:rsidP="00D57471">
      <w:pPr>
        <w:pStyle w:val="Akapitzlist"/>
        <w:numPr>
          <w:ilvl w:val="0"/>
          <w:numId w:val="32"/>
        </w:numPr>
      </w:pPr>
      <w:r w:rsidRPr="004778E3">
        <w:t>Dział dotyczy</w:t>
      </w:r>
      <w:r w:rsidR="00D70BC5" w:rsidRPr="004778E3">
        <w:t xml:space="preserve"> wyłącznie osób zatrudnionych na podstawie umowy o pracę</w:t>
      </w:r>
      <w:r w:rsidR="004D029B">
        <w:t>, stosunek służbowy</w:t>
      </w:r>
      <w:r w:rsidR="0094704B">
        <w:t xml:space="preserve"> i mianowanie</w:t>
      </w:r>
      <w:r w:rsidR="00D70BC5" w:rsidRPr="004778E3">
        <w:t xml:space="preserve">. </w:t>
      </w:r>
    </w:p>
    <w:p w14:paraId="0EE34D8E" w14:textId="77777777" w:rsidR="00D70BC5" w:rsidRPr="004778E3" w:rsidRDefault="00D57471" w:rsidP="00D57471">
      <w:pPr>
        <w:pStyle w:val="Akapitzlist"/>
        <w:numPr>
          <w:ilvl w:val="0"/>
          <w:numId w:val="32"/>
        </w:numPr>
      </w:pPr>
      <w:r w:rsidRPr="004778E3">
        <w:t>Dział ten nie dotyczy</w:t>
      </w:r>
      <w:r w:rsidR="00D70BC5" w:rsidRPr="004778E3">
        <w:t xml:space="preserve"> osób pracujących na podstawie umów cywilnoprawnych (umów zlecenia, umów o dzieło).</w:t>
      </w:r>
    </w:p>
    <w:p w14:paraId="4122F303" w14:textId="76F379B6" w:rsidR="00D57471" w:rsidRPr="004778E3" w:rsidRDefault="009F1794" w:rsidP="00D57471">
      <w:pPr>
        <w:pStyle w:val="Akapitzlist"/>
        <w:numPr>
          <w:ilvl w:val="0"/>
          <w:numId w:val="32"/>
        </w:numPr>
      </w:pPr>
      <w:r w:rsidRPr="004778E3">
        <w:t>Należy wykazać pracowników</w:t>
      </w:r>
      <w:r w:rsidR="00184131">
        <w:t xml:space="preserve"> (niebędących nauczycielami akademickimi)</w:t>
      </w:r>
      <w:r w:rsidRPr="004778E3">
        <w:t xml:space="preserve"> łącznie z osobami przebywającymi na urlopach: wypoczynkowych, bezpłatnych, wychowawczych czy zwolnieniach lekarskich. Niepełnozatrudnionych należy podać w przeliczeniu na pełne etaty, z jednym miejscem po przecinku. </w:t>
      </w:r>
    </w:p>
    <w:p w14:paraId="74D19D4B" w14:textId="77777777" w:rsidR="009F1794" w:rsidRPr="004778E3" w:rsidRDefault="009F1794" w:rsidP="00D57471">
      <w:pPr>
        <w:pStyle w:val="Akapitzlist"/>
        <w:numPr>
          <w:ilvl w:val="0"/>
          <w:numId w:val="32"/>
        </w:numPr>
      </w:pPr>
      <w:r w:rsidRPr="004778E3">
        <w:rPr>
          <w:b/>
        </w:rPr>
        <w:t xml:space="preserve">W </w:t>
      </w:r>
      <w:r w:rsidR="00D57471" w:rsidRPr="004778E3">
        <w:rPr>
          <w:b/>
        </w:rPr>
        <w:t>sekcji</w:t>
      </w:r>
      <w:r w:rsidRPr="004778E3">
        <w:rPr>
          <w:b/>
        </w:rPr>
        <w:t xml:space="preserve"> dla cudzoziemców</w:t>
      </w:r>
      <w:r w:rsidRPr="004778E3">
        <w:t xml:space="preserve"> należy wykazać osoby niebędące obywatelami polskimi.</w:t>
      </w:r>
    </w:p>
    <w:p w14:paraId="288C32F8" w14:textId="4BD5D55B" w:rsidR="00D70BC5" w:rsidRPr="004778E3" w:rsidRDefault="00D70BC5" w:rsidP="00D70BC5">
      <w:pPr>
        <w:pStyle w:val="Nagwek2"/>
      </w:pPr>
      <w:r w:rsidRPr="004778E3">
        <w:t xml:space="preserve">Dział </w:t>
      </w:r>
      <w:r w:rsidR="004B2B24" w:rsidRPr="004778E3">
        <w:t>1</w:t>
      </w:r>
      <w:r w:rsidR="004B2B24">
        <w:t>8</w:t>
      </w:r>
      <w:r w:rsidR="004B2B24" w:rsidRPr="004778E3">
        <w:t xml:space="preserve"> </w:t>
      </w:r>
      <w:r w:rsidR="009F1794" w:rsidRPr="004778E3">
        <w:t xml:space="preserve">i </w:t>
      </w:r>
      <w:r w:rsidR="004B2B24" w:rsidRPr="004778E3">
        <w:t>1</w:t>
      </w:r>
      <w:r w:rsidR="004B2B24">
        <w:t>9</w:t>
      </w:r>
    </w:p>
    <w:p w14:paraId="258C1D27" w14:textId="77777777" w:rsidR="009F1794" w:rsidRPr="004778E3" w:rsidRDefault="009F1794" w:rsidP="00D57471">
      <w:pPr>
        <w:pStyle w:val="Akapitzlist"/>
        <w:numPr>
          <w:ilvl w:val="0"/>
          <w:numId w:val="33"/>
        </w:numPr>
      </w:pPr>
      <w:r w:rsidRPr="004778E3">
        <w:t xml:space="preserve">Przeciętne zatrudnienie jest to średnia wielkość zatrudnienia obliczona dla badanego okresu na podstawie ewidencyjnego stanu zatrudnienia. Do wyliczenia przeciętnego zatrudnienia uwzględnia się wszystkie zatrudnione osoby, bez względu na to czy jest to ich główne miejsce pracy, czy kolejne. Przeciętne zatrudnienie oblicza się po uprzednim przeliczeniu osób niepełnozatrudnionych na liczbę pełnozatrudnionych. Przeciętne zatrudnienie należy obliczać jako sumę przeciętnego zatrudnienia w poszczególnych miesiącach podzieloną przez 12. </w:t>
      </w:r>
    </w:p>
    <w:p w14:paraId="0B471878" w14:textId="77777777" w:rsidR="009F1794" w:rsidRPr="004778E3" w:rsidRDefault="009F1794" w:rsidP="00D57471">
      <w:pPr>
        <w:pStyle w:val="Akapitzlist"/>
        <w:numPr>
          <w:ilvl w:val="0"/>
          <w:numId w:val="33"/>
        </w:numPr>
      </w:pPr>
      <w:r w:rsidRPr="004778E3">
        <w:t>Należy posłużyć się metodą średniej chronologicznej, obliczanej na podstawie sumy połowy stanu dziennego w pierwszym i ostatnim dniu miesiąca oraz stanu zatrudnienia w 15 dniu miesiąca podzielonej przez dwa. Przy zastosowaniu tej metody w czasie trwania nieobecności (w stanach dziennych przyjmowanych do obliczeń) nie należy ujmować osób, które powyżej 14 dni nieprzerwanie w danym miesiącu przebywały na urlopach bezpłatnych, wychowawczych, otrzymywały zasiłki chorobowe, macierzyńskie, rodzicielskie i opiekuńcze z wyjątkiem osób, które łączą dodatkowy urlop macierzyński lub urlop rodzicielski z pracą w niepełnym wymiarze u pracodawcy udzielającego tego urlopu (metoda stosowana w sprawozdaniu GUS Z-06).</w:t>
      </w:r>
      <w:r w:rsidRPr="004778E3">
        <w:tab/>
      </w:r>
    </w:p>
    <w:p w14:paraId="41826905" w14:textId="6566E337" w:rsidR="00D70BC5" w:rsidRPr="004778E3" w:rsidRDefault="009F1794" w:rsidP="00D57471">
      <w:pPr>
        <w:pStyle w:val="Akapitzlist"/>
        <w:numPr>
          <w:ilvl w:val="0"/>
          <w:numId w:val="33"/>
        </w:numPr>
      </w:pPr>
      <w:r w:rsidRPr="00666E33">
        <w:rPr>
          <w:b/>
          <w:bCs/>
        </w:rPr>
        <w:t xml:space="preserve">W </w:t>
      </w:r>
      <w:r w:rsidR="00666E33" w:rsidRPr="00666E33">
        <w:rPr>
          <w:b/>
          <w:bCs/>
        </w:rPr>
        <w:t xml:space="preserve">sekcji </w:t>
      </w:r>
      <w:r w:rsidRPr="00666E33">
        <w:rPr>
          <w:b/>
          <w:bCs/>
        </w:rPr>
        <w:t>dla cudzoziemców</w:t>
      </w:r>
      <w:r w:rsidRPr="004778E3">
        <w:t xml:space="preserve"> należy wykazać osoby niebędące obywatelami polskimi.</w:t>
      </w:r>
    </w:p>
    <w:p w14:paraId="4303ABD9" w14:textId="77777777" w:rsidR="00D70BC5" w:rsidRPr="00D70BC5" w:rsidRDefault="00D70BC5" w:rsidP="00D70BC5"/>
    <w:p w14:paraId="00C87C03" w14:textId="3E2DCA22" w:rsidR="00A870E0" w:rsidRPr="004778E3" w:rsidRDefault="00A870E0" w:rsidP="00A870E0">
      <w:pPr>
        <w:pStyle w:val="Nagwek2"/>
      </w:pPr>
      <w:r w:rsidRPr="004778E3">
        <w:t xml:space="preserve">Dział </w:t>
      </w:r>
      <w:r>
        <w:t>20</w:t>
      </w:r>
    </w:p>
    <w:p w14:paraId="09ADA6C0" w14:textId="62F2BCAB" w:rsidR="00232E8E" w:rsidRPr="00232E8E" w:rsidRDefault="009855B7" w:rsidP="00232E8E">
      <w:pPr>
        <w:pStyle w:val="Akapitzlist"/>
        <w:numPr>
          <w:ilvl w:val="0"/>
          <w:numId w:val="30"/>
        </w:numPr>
        <w:rPr>
          <w:b/>
        </w:rPr>
      </w:pPr>
      <w:r>
        <w:t>Wypełniają wyłącznie jednostki w sekcjach „bez cudzoziemców” i dla „cudzoziemców” (sekcje 1 i 2)</w:t>
      </w:r>
    </w:p>
    <w:p w14:paraId="7EE48529" w14:textId="0268F0AE" w:rsidR="00C60E9B" w:rsidRPr="00C60E9B" w:rsidRDefault="009855B7" w:rsidP="005D289D">
      <w:pPr>
        <w:pStyle w:val="Akapitzlist"/>
        <w:numPr>
          <w:ilvl w:val="0"/>
          <w:numId w:val="30"/>
        </w:numPr>
      </w:pPr>
      <w:r>
        <w:t>Należy wykazać konkretną liczbę doktorantów</w:t>
      </w:r>
      <w:r w:rsidR="00D25DBA">
        <w:t>, którym w trakcie 2024 r. wypłacono stypendium projakościowe.</w:t>
      </w:r>
      <w:r>
        <w:t xml:space="preserve"> </w:t>
      </w:r>
    </w:p>
    <w:sectPr w:rsidR="00C60E9B" w:rsidRPr="00C60E9B" w:rsidSect="005F2796">
      <w:headerReference w:type="default" r:id="rId7"/>
      <w:footerReference w:type="default" r:id="rId8"/>
      <w:pgSz w:w="11906" w:h="16838"/>
      <w:pgMar w:top="1961" w:right="1417" w:bottom="1417"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E6B37" w14:textId="77777777" w:rsidR="00B36A96" w:rsidRDefault="00B36A96" w:rsidP="005F2796">
      <w:r>
        <w:separator/>
      </w:r>
    </w:p>
  </w:endnote>
  <w:endnote w:type="continuationSeparator" w:id="0">
    <w:p w14:paraId="3B6FEF85" w14:textId="77777777" w:rsidR="00B36A96" w:rsidRDefault="00B36A96" w:rsidP="005F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1EC8" w14:textId="77777777" w:rsidR="007353F0" w:rsidRDefault="007353F0" w:rsidP="007353F0">
    <w:pPr>
      <w:ind w:right="260" w:hanging="851"/>
      <w:rPr>
        <w:color w:val="0F243E" w:themeColor="text2" w:themeShade="80"/>
        <w:sz w:val="26"/>
        <w:szCs w:val="26"/>
      </w:rPr>
    </w:pPr>
    <w:r w:rsidRPr="007353F0">
      <w:rPr>
        <w:noProof/>
        <w:color w:val="0F243E" w:themeColor="text2" w:themeShade="80"/>
        <w:sz w:val="26"/>
        <w:szCs w:val="26"/>
        <w:lang w:eastAsia="pl-PL"/>
      </w:rPr>
      <w:drawing>
        <wp:inline distT="0" distB="0" distL="0" distR="0" wp14:anchorId="13EB6BE6" wp14:editId="499719D7">
          <wp:extent cx="5760720" cy="831055"/>
          <wp:effectExtent l="0" t="0" r="0" b="762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OPI-PIB-[stopka].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31055"/>
                  </a:xfrm>
                  <a:prstGeom prst="rect">
                    <a:avLst/>
                  </a:prstGeom>
                </pic:spPr>
              </pic:pic>
            </a:graphicData>
          </a:graphic>
        </wp:inline>
      </w:drawing>
    </w:r>
    <w:r>
      <w:rPr>
        <w:noProof/>
        <w:color w:val="1F497D" w:themeColor="text2"/>
        <w:sz w:val="26"/>
        <w:szCs w:val="26"/>
        <w:lang w:eastAsia="pl-PL"/>
      </w:rPr>
      <mc:AlternateContent>
        <mc:Choice Requires="wps">
          <w:drawing>
            <wp:anchor distT="0" distB="0" distL="114300" distR="114300" simplePos="0" relativeHeight="251661312" behindDoc="0" locked="0" layoutInCell="1" allowOverlap="1" wp14:anchorId="44C72B4A" wp14:editId="27D49C1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Pole tekstow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74C88B" w14:textId="38B27BA7" w:rsidR="007353F0" w:rsidRDefault="007353F0">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D53754">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4C72B4A" id="_x0000_t202" coordsize="21600,21600" o:spt="202" path="m,l,21600r21600,l21600,xe">
              <v:stroke joinstyle="miter"/>
              <v:path gradientshapeok="t" o:connecttype="rect"/>
            </v:shapetype>
            <v:shape id="Pole tekstowe 49" o:spid="_x0000_s1026" type="#_x0000_t202" style="position:absolute;left:0;text-align:left;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2274C88B" w14:textId="38B27BA7" w:rsidR="007353F0" w:rsidRDefault="007353F0">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D53754">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14:paraId="4F2EC6A8" w14:textId="77777777" w:rsidR="005F2796" w:rsidRDefault="005F2796" w:rsidP="005F2796">
    <w:pPr>
      <w:pStyle w:val="Stopka"/>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A592" w14:textId="77777777" w:rsidR="00B36A96" w:rsidRDefault="00B36A96" w:rsidP="005F2796">
      <w:r>
        <w:separator/>
      </w:r>
    </w:p>
  </w:footnote>
  <w:footnote w:type="continuationSeparator" w:id="0">
    <w:p w14:paraId="4EAE6200" w14:textId="77777777" w:rsidR="00B36A96" w:rsidRDefault="00B36A96" w:rsidP="005F2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ED89" w14:textId="77777777" w:rsidR="005F2796" w:rsidRDefault="005F2796">
    <w:pPr>
      <w:pStyle w:val="Nagwek"/>
    </w:pPr>
    <w:r>
      <w:rPr>
        <w:noProof/>
        <w:lang w:eastAsia="pl-PL"/>
      </w:rPr>
      <w:drawing>
        <wp:anchor distT="0" distB="0" distL="114300" distR="114300" simplePos="0" relativeHeight="251659264" behindDoc="0" locked="0" layoutInCell="1" allowOverlap="1" wp14:anchorId="563E4467" wp14:editId="2DD3081F">
          <wp:simplePos x="0" y="0"/>
          <wp:positionH relativeFrom="column">
            <wp:posOffset>-705485</wp:posOffset>
          </wp:positionH>
          <wp:positionV relativeFrom="paragraph">
            <wp:posOffset>-848360</wp:posOffset>
          </wp:positionV>
          <wp:extent cx="7534603" cy="1440000"/>
          <wp:effectExtent l="0" t="0" r="0" b="8255"/>
          <wp:wrapNone/>
          <wp:docPr id="8" name="Obraz 8" descr="C:\Users\koginski\AppData\Local\Microsoft\Windows\INetCache\Content.Word\papier-POIR-[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ginski\AppData\Local\Microsoft\Windows\INetCache\Content.Word\papier-POIR-[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603" cy="144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3545"/>
    <w:multiLevelType w:val="hybridMultilevel"/>
    <w:tmpl w:val="9F08607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EB2146"/>
    <w:multiLevelType w:val="hybridMultilevel"/>
    <w:tmpl w:val="72CED8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D7317E1"/>
    <w:multiLevelType w:val="hybridMultilevel"/>
    <w:tmpl w:val="FBE66C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F47662"/>
    <w:multiLevelType w:val="hybridMultilevel"/>
    <w:tmpl w:val="B7B675E6"/>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57C777A"/>
    <w:multiLevelType w:val="hybridMultilevel"/>
    <w:tmpl w:val="B058D1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6626D45"/>
    <w:multiLevelType w:val="hybridMultilevel"/>
    <w:tmpl w:val="DA8E2F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8BF13CA"/>
    <w:multiLevelType w:val="hybridMultilevel"/>
    <w:tmpl w:val="C57EFC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41E3E91"/>
    <w:multiLevelType w:val="hybridMultilevel"/>
    <w:tmpl w:val="00B80C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CA3157E"/>
    <w:multiLevelType w:val="hybridMultilevel"/>
    <w:tmpl w:val="636A62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E5B087F"/>
    <w:multiLevelType w:val="hybridMultilevel"/>
    <w:tmpl w:val="67106C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F1E4B0C"/>
    <w:multiLevelType w:val="hybridMultilevel"/>
    <w:tmpl w:val="C07CFBAE"/>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27143B5"/>
    <w:multiLevelType w:val="hybridMultilevel"/>
    <w:tmpl w:val="6E58AE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5A12389"/>
    <w:multiLevelType w:val="hybridMultilevel"/>
    <w:tmpl w:val="D4E035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6B924ED"/>
    <w:multiLevelType w:val="hybridMultilevel"/>
    <w:tmpl w:val="BE0A2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C066CB3"/>
    <w:multiLevelType w:val="hybridMultilevel"/>
    <w:tmpl w:val="1E54CD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D0C3EE7"/>
    <w:multiLevelType w:val="hybridMultilevel"/>
    <w:tmpl w:val="A56491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F1A11F3"/>
    <w:multiLevelType w:val="hybridMultilevel"/>
    <w:tmpl w:val="34E24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D3493C"/>
    <w:multiLevelType w:val="hybridMultilevel"/>
    <w:tmpl w:val="B22852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64638F4"/>
    <w:multiLevelType w:val="hybridMultilevel"/>
    <w:tmpl w:val="58368F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69A34C9"/>
    <w:multiLevelType w:val="hybridMultilevel"/>
    <w:tmpl w:val="9502E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C45C93"/>
    <w:multiLevelType w:val="hybridMultilevel"/>
    <w:tmpl w:val="54C22C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988186D"/>
    <w:multiLevelType w:val="hybridMultilevel"/>
    <w:tmpl w:val="A956BA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D58719F"/>
    <w:multiLevelType w:val="hybridMultilevel"/>
    <w:tmpl w:val="649C12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FE12CD6"/>
    <w:multiLevelType w:val="hybridMultilevel"/>
    <w:tmpl w:val="7F6233E0"/>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21C4493"/>
    <w:multiLevelType w:val="hybridMultilevel"/>
    <w:tmpl w:val="1004E8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9694E1A"/>
    <w:multiLevelType w:val="hybridMultilevel"/>
    <w:tmpl w:val="0D18C6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A315DE6"/>
    <w:multiLevelType w:val="hybridMultilevel"/>
    <w:tmpl w:val="F272A642"/>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B5231E9"/>
    <w:multiLevelType w:val="hybridMultilevel"/>
    <w:tmpl w:val="3DC2CC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EE12F40"/>
    <w:multiLevelType w:val="hybridMultilevel"/>
    <w:tmpl w:val="F0E632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07E1A3D"/>
    <w:multiLevelType w:val="hybridMultilevel"/>
    <w:tmpl w:val="74CE96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1AF316F"/>
    <w:multiLevelType w:val="hybridMultilevel"/>
    <w:tmpl w:val="718A17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A785096"/>
    <w:multiLevelType w:val="hybridMultilevel"/>
    <w:tmpl w:val="B44435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0343875"/>
    <w:multiLevelType w:val="hybridMultilevel"/>
    <w:tmpl w:val="477A85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26A2168"/>
    <w:multiLevelType w:val="hybridMultilevel"/>
    <w:tmpl w:val="1C1EFF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389963350">
    <w:abstractNumId w:val="19"/>
  </w:num>
  <w:num w:numId="2" w16cid:durableId="1457409005">
    <w:abstractNumId w:val="16"/>
  </w:num>
  <w:num w:numId="3" w16cid:durableId="12000810">
    <w:abstractNumId w:val="22"/>
  </w:num>
  <w:num w:numId="4" w16cid:durableId="2041347426">
    <w:abstractNumId w:val="14"/>
  </w:num>
  <w:num w:numId="5" w16cid:durableId="1707483698">
    <w:abstractNumId w:val="27"/>
  </w:num>
  <w:num w:numId="6" w16cid:durableId="2089568645">
    <w:abstractNumId w:val="5"/>
  </w:num>
  <w:num w:numId="7" w16cid:durableId="157039217">
    <w:abstractNumId w:val="32"/>
  </w:num>
  <w:num w:numId="8" w16cid:durableId="326133885">
    <w:abstractNumId w:val="9"/>
  </w:num>
  <w:num w:numId="9" w16cid:durableId="387384391">
    <w:abstractNumId w:val="6"/>
  </w:num>
  <w:num w:numId="10" w16cid:durableId="2366178">
    <w:abstractNumId w:val="7"/>
  </w:num>
  <w:num w:numId="11" w16cid:durableId="911307266">
    <w:abstractNumId w:val="33"/>
  </w:num>
  <w:num w:numId="12" w16cid:durableId="213346414">
    <w:abstractNumId w:val="23"/>
  </w:num>
  <w:num w:numId="13" w16cid:durableId="254942560">
    <w:abstractNumId w:val="26"/>
  </w:num>
  <w:num w:numId="14" w16cid:durableId="1397316348">
    <w:abstractNumId w:val="11"/>
  </w:num>
  <w:num w:numId="15" w16cid:durableId="1403068699">
    <w:abstractNumId w:val="17"/>
  </w:num>
  <w:num w:numId="16" w16cid:durableId="745688002">
    <w:abstractNumId w:val="10"/>
  </w:num>
  <w:num w:numId="17" w16cid:durableId="1595748545">
    <w:abstractNumId w:val="3"/>
  </w:num>
  <w:num w:numId="18" w16cid:durableId="706181965">
    <w:abstractNumId w:val="0"/>
  </w:num>
  <w:num w:numId="19" w16cid:durableId="599678243">
    <w:abstractNumId w:val="8"/>
  </w:num>
  <w:num w:numId="20" w16cid:durableId="898784238">
    <w:abstractNumId w:val="13"/>
  </w:num>
  <w:num w:numId="21" w16cid:durableId="1441025728">
    <w:abstractNumId w:val="2"/>
  </w:num>
  <w:num w:numId="22" w16cid:durableId="1309895730">
    <w:abstractNumId w:val="18"/>
  </w:num>
  <w:num w:numId="23" w16cid:durableId="507867555">
    <w:abstractNumId w:val="12"/>
  </w:num>
  <w:num w:numId="24" w16cid:durableId="2141217629">
    <w:abstractNumId w:val="25"/>
  </w:num>
  <w:num w:numId="25" w16cid:durableId="1963727936">
    <w:abstractNumId w:val="21"/>
  </w:num>
  <w:num w:numId="26" w16cid:durableId="1823153830">
    <w:abstractNumId w:val="1"/>
  </w:num>
  <w:num w:numId="27" w16cid:durableId="788353179">
    <w:abstractNumId w:val="20"/>
  </w:num>
  <w:num w:numId="28" w16cid:durableId="689600458">
    <w:abstractNumId w:val="28"/>
  </w:num>
  <w:num w:numId="29" w16cid:durableId="1717965400">
    <w:abstractNumId w:val="29"/>
  </w:num>
  <w:num w:numId="30" w16cid:durableId="740831760">
    <w:abstractNumId w:val="24"/>
  </w:num>
  <w:num w:numId="31" w16cid:durableId="738676094">
    <w:abstractNumId w:val="15"/>
  </w:num>
  <w:num w:numId="32" w16cid:durableId="828864218">
    <w:abstractNumId w:val="4"/>
  </w:num>
  <w:num w:numId="33" w16cid:durableId="1699353406">
    <w:abstractNumId w:val="30"/>
  </w:num>
  <w:num w:numId="34" w16cid:durableId="20725341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E9B"/>
    <w:rsid w:val="00020656"/>
    <w:rsid w:val="00024411"/>
    <w:rsid w:val="00055E75"/>
    <w:rsid w:val="000901A5"/>
    <w:rsid w:val="000A00B6"/>
    <w:rsid w:val="000E5F29"/>
    <w:rsid w:val="00103C03"/>
    <w:rsid w:val="00143132"/>
    <w:rsid w:val="00184131"/>
    <w:rsid w:val="001F31E4"/>
    <w:rsid w:val="00205195"/>
    <w:rsid w:val="00225CAF"/>
    <w:rsid w:val="00232E8E"/>
    <w:rsid w:val="00243F39"/>
    <w:rsid w:val="00245EEA"/>
    <w:rsid w:val="00247FBB"/>
    <w:rsid w:val="0027304D"/>
    <w:rsid w:val="002B79F5"/>
    <w:rsid w:val="002C1004"/>
    <w:rsid w:val="002E6D54"/>
    <w:rsid w:val="00311E68"/>
    <w:rsid w:val="00342E1A"/>
    <w:rsid w:val="00345A3B"/>
    <w:rsid w:val="00351C8C"/>
    <w:rsid w:val="003F74BD"/>
    <w:rsid w:val="004043E8"/>
    <w:rsid w:val="00415381"/>
    <w:rsid w:val="004778E3"/>
    <w:rsid w:val="00484496"/>
    <w:rsid w:val="004B2B24"/>
    <w:rsid w:val="004D029B"/>
    <w:rsid w:val="005350E7"/>
    <w:rsid w:val="0056260B"/>
    <w:rsid w:val="005945BD"/>
    <w:rsid w:val="005A1666"/>
    <w:rsid w:val="005A4D68"/>
    <w:rsid w:val="005B5366"/>
    <w:rsid w:val="005C7EE6"/>
    <w:rsid w:val="005D289D"/>
    <w:rsid w:val="005F2796"/>
    <w:rsid w:val="005F2C31"/>
    <w:rsid w:val="006220E4"/>
    <w:rsid w:val="00653286"/>
    <w:rsid w:val="00662792"/>
    <w:rsid w:val="00666E33"/>
    <w:rsid w:val="006A6B62"/>
    <w:rsid w:val="007353F0"/>
    <w:rsid w:val="007B0C62"/>
    <w:rsid w:val="00817CDF"/>
    <w:rsid w:val="00822CEB"/>
    <w:rsid w:val="008A3C28"/>
    <w:rsid w:val="00940B0D"/>
    <w:rsid w:val="0094704B"/>
    <w:rsid w:val="009855B7"/>
    <w:rsid w:val="00993D2B"/>
    <w:rsid w:val="009C38CB"/>
    <w:rsid w:val="009F1794"/>
    <w:rsid w:val="00A34678"/>
    <w:rsid w:val="00A75EB0"/>
    <w:rsid w:val="00A767F7"/>
    <w:rsid w:val="00A870E0"/>
    <w:rsid w:val="00AB3803"/>
    <w:rsid w:val="00AC2D83"/>
    <w:rsid w:val="00B10CAB"/>
    <w:rsid w:val="00B126C8"/>
    <w:rsid w:val="00B13812"/>
    <w:rsid w:val="00B23556"/>
    <w:rsid w:val="00B36A96"/>
    <w:rsid w:val="00B3722E"/>
    <w:rsid w:val="00B448C3"/>
    <w:rsid w:val="00B45704"/>
    <w:rsid w:val="00B5058A"/>
    <w:rsid w:val="00B60BAE"/>
    <w:rsid w:val="00BA54E8"/>
    <w:rsid w:val="00BD06D9"/>
    <w:rsid w:val="00C0641F"/>
    <w:rsid w:val="00C21CDA"/>
    <w:rsid w:val="00C25F3F"/>
    <w:rsid w:val="00C60E9B"/>
    <w:rsid w:val="00CC6363"/>
    <w:rsid w:val="00CF06C2"/>
    <w:rsid w:val="00D25DBA"/>
    <w:rsid w:val="00D53754"/>
    <w:rsid w:val="00D57471"/>
    <w:rsid w:val="00D70BC5"/>
    <w:rsid w:val="00D76DDD"/>
    <w:rsid w:val="00D92462"/>
    <w:rsid w:val="00DA163D"/>
    <w:rsid w:val="00DA2861"/>
    <w:rsid w:val="00DB10DA"/>
    <w:rsid w:val="00DB250F"/>
    <w:rsid w:val="00DB66EB"/>
    <w:rsid w:val="00DF36E3"/>
    <w:rsid w:val="00E96993"/>
    <w:rsid w:val="00ED6324"/>
    <w:rsid w:val="00EF1B22"/>
    <w:rsid w:val="00F05356"/>
    <w:rsid w:val="00F26044"/>
    <w:rsid w:val="00F3083C"/>
    <w:rsid w:val="00FB5B74"/>
    <w:rsid w:val="00FC2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ADEC9"/>
  <w15:docId w15:val="{C8E4B6DD-5E08-4B13-8B5E-F0A25E2B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0E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60E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DA163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60E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C60E9B"/>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C60E9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C60E9B"/>
    <w:rPr>
      <w:rFonts w:asciiTheme="majorHAnsi" w:eastAsiaTheme="majorEastAsia" w:hAnsiTheme="majorHAnsi" w:cstheme="majorBidi"/>
      <w:b/>
      <w:bCs/>
      <w:color w:val="4F81BD" w:themeColor="accent1"/>
      <w:sz w:val="26"/>
      <w:szCs w:val="26"/>
    </w:rPr>
  </w:style>
  <w:style w:type="character" w:styleId="Odwoaniedokomentarza">
    <w:name w:val="annotation reference"/>
    <w:semiHidden/>
    <w:rsid w:val="00C60E9B"/>
    <w:rPr>
      <w:sz w:val="16"/>
      <w:szCs w:val="16"/>
    </w:rPr>
  </w:style>
  <w:style w:type="paragraph" w:styleId="Tekstkomentarza">
    <w:name w:val="annotation text"/>
    <w:basedOn w:val="Normalny"/>
    <w:link w:val="TekstkomentarzaZnak"/>
    <w:semiHidden/>
    <w:rsid w:val="00C60E9B"/>
    <w:pPr>
      <w:spacing w:after="200" w:line="276" w:lineRule="auto"/>
      <w:jc w:val="left"/>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semiHidden/>
    <w:rsid w:val="00C60E9B"/>
    <w:rPr>
      <w:rFonts w:ascii="Calibri" w:eastAsia="Calibri" w:hAnsi="Calibri" w:cs="Times New Roman"/>
      <w:sz w:val="20"/>
      <w:szCs w:val="20"/>
      <w:lang w:val="x-none"/>
    </w:rPr>
  </w:style>
  <w:style w:type="paragraph" w:styleId="Tekstdymka">
    <w:name w:val="Balloon Text"/>
    <w:basedOn w:val="Normalny"/>
    <w:link w:val="TekstdymkaZnak"/>
    <w:uiPriority w:val="99"/>
    <w:semiHidden/>
    <w:unhideWhenUsed/>
    <w:rsid w:val="00C60E9B"/>
    <w:rPr>
      <w:rFonts w:ascii="Tahoma" w:hAnsi="Tahoma" w:cs="Tahoma"/>
      <w:sz w:val="16"/>
      <w:szCs w:val="16"/>
    </w:rPr>
  </w:style>
  <w:style w:type="character" w:customStyle="1" w:styleId="TekstdymkaZnak">
    <w:name w:val="Tekst dymka Znak"/>
    <w:basedOn w:val="Domylnaczcionkaakapitu"/>
    <w:link w:val="Tekstdymka"/>
    <w:uiPriority w:val="99"/>
    <w:semiHidden/>
    <w:rsid w:val="00C60E9B"/>
    <w:rPr>
      <w:rFonts w:ascii="Tahoma" w:hAnsi="Tahoma" w:cs="Tahoma"/>
      <w:sz w:val="16"/>
      <w:szCs w:val="16"/>
    </w:rPr>
  </w:style>
  <w:style w:type="character" w:customStyle="1" w:styleId="Nagwek3Znak">
    <w:name w:val="Nagłówek 3 Znak"/>
    <w:basedOn w:val="Domylnaczcionkaakapitu"/>
    <w:link w:val="Nagwek3"/>
    <w:uiPriority w:val="9"/>
    <w:rsid w:val="00DA163D"/>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DA163D"/>
    <w:pPr>
      <w:ind w:left="720"/>
      <w:contextualSpacing/>
    </w:pPr>
  </w:style>
  <w:style w:type="paragraph" w:styleId="Podtytu">
    <w:name w:val="Subtitle"/>
    <w:basedOn w:val="Normalny"/>
    <w:next w:val="Normalny"/>
    <w:link w:val="PodtytuZnak"/>
    <w:uiPriority w:val="11"/>
    <w:qFormat/>
    <w:rsid w:val="004043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043E8"/>
    <w:rPr>
      <w:rFonts w:asciiTheme="majorHAnsi" w:eastAsiaTheme="majorEastAsia" w:hAnsiTheme="majorHAnsi" w:cstheme="majorBidi"/>
      <w:i/>
      <w:iCs/>
      <w:color w:val="4F81BD" w:themeColor="accent1"/>
      <w:spacing w:val="15"/>
      <w:sz w:val="24"/>
      <w:szCs w:val="24"/>
    </w:rPr>
  </w:style>
  <w:style w:type="paragraph" w:styleId="Nagwek">
    <w:name w:val="header"/>
    <w:basedOn w:val="Normalny"/>
    <w:link w:val="NagwekZnak"/>
    <w:uiPriority w:val="99"/>
    <w:unhideWhenUsed/>
    <w:rsid w:val="005F2796"/>
    <w:pPr>
      <w:tabs>
        <w:tab w:val="center" w:pos="4536"/>
        <w:tab w:val="right" w:pos="9072"/>
      </w:tabs>
    </w:pPr>
  </w:style>
  <w:style w:type="character" w:customStyle="1" w:styleId="NagwekZnak">
    <w:name w:val="Nagłówek Znak"/>
    <w:basedOn w:val="Domylnaczcionkaakapitu"/>
    <w:link w:val="Nagwek"/>
    <w:uiPriority w:val="99"/>
    <w:rsid w:val="005F2796"/>
  </w:style>
  <w:style w:type="paragraph" w:styleId="Stopka">
    <w:name w:val="footer"/>
    <w:basedOn w:val="Normalny"/>
    <w:link w:val="StopkaZnak"/>
    <w:uiPriority w:val="99"/>
    <w:unhideWhenUsed/>
    <w:rsid w:val="005F2796"/>
    <w:pPr>
      <w:tabs>
        <w:tab w:val="center" w:pos="4536"/>
        <w:tab w:val="right" w:pos="9072"/>
      </w:tabs>
    </w:pPr>
  </w:style>
  <w:style w:type="character" w:customStyle="1" w:styleId="StopkaZnak">
    <w:name w:val="Stopka Znak"/>
    <w:basedOn w:val="Domylnaczcionkaakapitu"/>
    <w:link w:val="Stopka"/>
    <w:uiPriority w:val="99"/>
    <w:rsid w:val="005F2796"/>
  </w:style>
  <w:style w:type="table" w:styleId="Tabela-Siatka">
    <w:name w:val="Table Grid"/>
    <w:basedOn w:val="Standardowy"/>
    <w:uiPriority w:val="59"/>
    <w:rsid w:val="00D70BC5"/>
    <w:pPr>
      <w:jc w:val="left"/>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DB66EB"/>
    <w:pPr>
      <w:jc w:val="left"/>
    </w:pPr>
  </w:style>
  <w:style w:type="paragraph" w:styleId="Tematkomentarza">
    <w:name w:val="annotation subject"/>
    <w:basedOn w:val="Tekstkomentarza"/>
    <w:next w:val="Tekstkomentarza"/>
    <w:link w:val="TematkomentarzaZnak"/>
    <w:uiPriority w:val="99"/>
    <w:semiHidden/>
    <w:unhideWhenUsed/>
    <w:rsid w:val="002C1004"/>
    <w:pPr>
      <w:spacing w:after="0" w:line="240" w:lineRule="auto"/>
      <w:jc w:val="both"/>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2C1004"/>
    <w:rPr>
      <w:rFonts w:ascii="Calibri" w:eastAsia="Calibri" w:hAnsi="Calibri" w:cs="Times New Roman"/>
      <w:b/>
      <w:bCs/>
      <w:sz w:val="20"/>
      <w:szCs w:val="20"/>
      <w:lang w:val="x-none"/>
    </w:rPr>
  </w:style>
  <w:style w:type="character" w:customStyle="1" w:styleId="ui-provider">
    <w:name w:val="ui-provider"/>
    <w:basedOn w:val="Domylnaczcionkaakapitu"/>
    <w:rsid w:val="002C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1928</Words>
  <Characters>11569</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OPI PIB</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Mucha</dc:creator>
  <cp:lastModifiedBy>Katarzyna Mucha</cp:lastModifiedBy>
  <cp:revision>7</cp:revision>
  <cp:lastPrinted>2024-11-29T14:50:00Z</cp:lastPrinted>
  <dcterms:created xsi:type="dcterms:W3CDTF">2024-12-04T10:25:00Z</dcterms:created>
  <dcterms:modified xsi:type="dcterms:W3CDTF">2025-01-22T07:42:00Z</dcterms:modified>
</cp:coreProperties>
</file>